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0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ТАРИФНОЕ СОГЛАШЕНИЕ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системе обязательного медицинского страхования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Омской области на 2026 год (далее - Тарифное соглашение)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spacing w:after="1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г. Омск </w:t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ab/>
      </w:r>
      <w:r>
        <w:rPr>
          <w:rFonts w:ascii="Times New Roman" w:hAnsi="Times New Roman"/>
          <w:sz w:val="24"/>
          <w:szCs w:val="24"/>
          <w:highlight w:val="none"/>
        </w:rPr>
        <w:tab/>
        <w:t xml:space="preserve">   </w:t>
      </w:r>
      <w:r>
        <w:rPr>
          <w:rFonts w:ascii="Times New Roman" w:hAnsi="Times New Roman"/>
          <w:sz w:val="24"/>
          <w:szCs w:val="24"/>
          <w:highlight w:val="none"/>
        </w:rPr>
        <w:tab/>
        <w:t xml:space="preserve">                 </w:t>
      </w:r>
      <w:r>
        <w:rPr>
          <w:rFonts w:ascii="Times New Roman" w:hAnsi="Times New Roman"/>
          <w:sz w:val="24"/>
          <w:szCs w:val="24"/>
          <w:highlight w:val="none"/>
        </w:rPr>
        <w:t xml:space="preserve">"30" января 2026 г.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Мы, нижеподписав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шиеся, полномочные представители органа исполнительной власти Омской области, уполномоченного высшим исполнительным органом государственной власти Омской области, представители территориального фонда обязательного медицинского страхования Омской области,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редставители страховых медицинских организаций, представители медицинских профессиональных некоммерческих организаций (ассоциаций), профессиональных союзов медицинских работников, являющиеся членами Комиссии по разработке территориальной программы обязател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ьного медицинского страхования Омской области, утвержденной постановлением Правительства Омской области от 1 февраля 2012 года № 16-п "О мерах по реализации Федерального закона от 29 ноября 2010 года № 326-ФЗ", в соответствии с Федеральным законом от 29 но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ября 2010 года № 326-ФЗ "Об обязательном медицинском страховании в Российской Федерации", Федеральным законом от 21 ноября 2011 года № 323-ФЗ "Об основах охраны здоровья граждан в Российской Федерации", постановлением Правительства Российской Федерации от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29 декабря 2</w:t>
      </w:r>
      <w:bookmarkStart w:id="0" w:name="_GoBack"/>
      <w:r>
        <w:rPr>
          <w:highlight w:val="none"/>
        </w:rPr>
      </w:r>
      <w:bookmarkEnd w:id="0"/>
      <w:r>
        <w:rPr>
          <w:rFonts w:ascii="Times New Roman" w:hAnsi="Times New Roman" w:cs="Times New Roman"/>
          <w:sz w:val="24"/>
          <w:szCs w:val="24"/>
          <w:highlight w:val="none"/>
        </w:rPr>
        <w:t xml:space="preserve">025 года № 2188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"О Программе государственных гарантий бесплатного оказания гражданам медицинской помощи на 2026 год и на плановый период 2027 и 2028 годов", постановлением Правительства Омской области от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25 декабря 2025 года № 710-п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"О Территор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иальной программе государственных гарантий бесплатного оказания гражданам медицинской помощи в Омской области на 2026 год и на плановый период 2027 и 2028 годов", приказом Министерства здравоохранения Российской Федерации от 21 августа 2025 года № 496н "Об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утверждении Правил обязательного медицинского страхования", приказом Министерства здравоохранения Российской Федерации от 10 февраля 2023 года № 44н "Об утверждении Требований к структуре и содержанию тарифного соглашения", 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письмом Министерства здравоохра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нения Российской Федерации от 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11 февраля 2025 года N 31-2/И/2-2286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 "О формировании и экономическом обосновании территориальных программ государственных гарантий бесплатного оказания гражданам медицинской помощи на 2025 - 2027 годы"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аключили настоящее Тари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фное соглашение о нижеследующем: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 Общие положения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1. Предметом настоящего Тарифного соглашения является установление тарифов на оплату медицинской помощи (далее - Тарифы) на территории Омской области, коэффициентов дифференциации Тарифов, их размеров 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структуры, способов оплаты медицинской помощи, оказываемой застрахованным лицам по обязательному медицинскому страхованию, перечня оснований для отказа в оплате медицинской помощи (уменьшение оплаты медицинской помощи) и размеров неоплаты или неполной опл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аты затрат на оказание медицинской помощи, а также уплаты медицинской организацией штрафов за неоказание, несвоевременное оказание либо оказание медицинской помощи ненадлежащего качества на территории Омской области.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2. Тарифы рассматриваются Комиссией по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разработке территориальной программы обязательного медицинского страхования Омской области (далее - Комиссия), устанавливаются настоящим Тарифным соглашением и являются неотъемлемой частью настоящего Тарифного соглашения.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 В настоящем Тарифном соглашении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используются следующие термины и определения: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Прикрепленное лицо - лицо, застрахованное по обязательному медицинскому страхованию (далее – ОМС) в соответствии с Федеральным законом от 29 ноября 2010 года № 326-ФЗ "Об обязательном медицинском страховании 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Российской Федерации", проживающее на территории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Омской области и прикрепленное к медицинской организации для получения первичной медико-санитарной помощи.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Понятия "Медицинская помощь", "Медицинская организация", "Медицинская услуга", "Пациент" используют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ся в значении, определенном Федеральным законом от 21 ноября 2011 года № 323-ФЗ "Об основах охраны здоровья граждан в Российской Федерации".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Понятия "Застрахованное лицо", "Страховой случай" используются в значении, определенном Федеральным законом от 29 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оября 2010 года № 326-ФЗ "Об обязательном медицинском страховании в Российской Федерации".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Способ оплаты медицинской помощи - установленный Программой государственных гарантий бесплатного оказания гражданам медицинской помощи в рамках базовой программы обя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зательного медицинского страхования и Территориальной программой обязательного медицинского страхования (далее - ТП ОМС) способ финансирования медицинской помощи, оказанной медицинской организацией в тех или иных условиях, установленных Федеральным законом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от 21 ноября 2011 года  323-ФЗ "Об основах охраны здоровья граждан в Российской Федерации" (ст. 32 п. 3).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Понятия "Случай госпитализации", "Клинико-статистическая группа заболеваний (КСГ)", "Оплата медицинской помощи по КСГ", "Базовая ставка", "Коэффициен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 относительной затратоемкости", "Коэффициент дифференциации", "Поправочные коэффициенты", "Коэффициент специфики", "Коэффициент уровня оказания медицинской помощи", "Коэффициент подуровня оказания медицинской помощи", "Коэффициент сложности лечения пациен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тов" используются в значении, определенном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Методическими рекомендациями по способам оплаты медицинской помощи за счет средств обязательного медицинского страхования, направленных совместным письмом Министерства здравоохранения Российской Федерации № 31-2/1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15 и Федерального фонда обязательного медицинского страхования № 00-10-26-2-06/965 от 28 января 2025 года (далее - Методические рекомендации).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Плановое задание (план-задание) - объемы и финансовое обеспечение медицинской помощи, установленные конкретной ме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дицинской организации в рамках ТП ОМС на очередной год Комиссией.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Тариф - стоимость единицы объема медицинской помощи, оказываемой застрахованным лицам по ОМС.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Посещение - единица объема медицинской помощи в амбулаторных условиях, контакт пациента с врачом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или средним медицинским работником, ведущими амбулаторный (в том числе консультативный) прием, в поликлинике (врачебной амбулатории), диспансере, женской консультации, фельдшерско-акушерском пункте (далее - ФАП) при посещении пациентом врача (среднего мед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ицинского работника) или посещении пациента врачом (средним медицинским работником) на дому. В указанное посещение включаются осмотр пациента, медицинские вмешательства и медицинские услуги, с последующей записью об их выполнении в медицинской карте пациен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та, получающего медицинскую помощь в амбулаторных условиях в установленном порядке, за исключением лечебно-диагностических услуг (исследований), на которые настоящим Тарифным соглашением установлены отдельные тарифы.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Посещение приемного отделения - случай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оказания неотложной медицинской помощи (в том числе с использованием параклинических методов исследования) в приемном отделении стационара пациенту, госпитализация которого не состоялась.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Доврачебное посещение - посещение, оказанное средним медицинским пер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соналом в случаях ведения самостоятельного приема во врачебных амбулаторно-поликлинических учреждениях, на врачебных и фельдшерских здравпунктах, фельдшерско-акушерских пунктах, школьных,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дошкольных учреждениях.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Посещения с профилактическими и иными целями - посещения, не связанные с заболеванием или обострением хронического заболевания, оказанные: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а) с профилактической целью, в том числе: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комплексные посещения для проведения профилактических медицинских осмотро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(включая 1-е посещение для проведения диспансерного наблюдения);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комплексные посещения для проведения диспансеризации, в том числе углубленной диспансеризации, а также диспансеризации взрослого населения репродуктивного возраста по оценке репродуктивного здоровья (за исключением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вторых этапов диспансеризаций всех видов);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б) с иными целями, в том числе: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разовые посещения в связи с заболеваниями;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посещения медицинских работников, имеющих среднее медицинское образование, ведущих самостоятельный прием;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посещения центров амбулато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рной онкологической помощи (далее - ЦАОП), а также поликлиники БУЗОО «Клинический онкологический диспансер»;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посещения с другими целями (патронаж, выдача справок и иных медицинских документов и другие причины).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Посещение по неотложной помощи - оказание неотложной медицинской помощи лицам, обратившимся с признаками неотложных состояний (при внезапных острых заболеваниях, состояниях, обострении хронических заболеваний, не опасных для жизни и не требующих экстренной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медицинской помощи) в отделение (кабинет) неотложной медицинской помощи, являющееся структурным подразделением поликлиники, а также на дому при вызове медицинского работника.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Обращение по поводу заболевания - это законченный случай лечения заболевания в 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мбулаторных условиях с кратностью не менее двух посещений по поводу одного заболевания (складывается из первичных и повторных посещений), включающий лечебно-диагностические и реабилитационные мероприятия, в результате которых наступает выздоровление, улучш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ение, направление пациента в дневной стационар, на госпитализацию в круглосуточный стационар. Результат обращения отмечается в соответствующих позициях Талона только при последнем посещении больного по данному поводу.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Обращение в травматологический пункт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обращение в медицинскую организацию, имеющую в своей структуре подразделение "травматологический пункт".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Первичный прием - первое посещение в рамках случая оказания медицинской помощи по поводу заболевания.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Повторный прием - второе и каждое последующее по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сещение в рамках случая оказания медицинской помощи по заболеванию.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Условная единица трудоемкости (УЕТ) - норматив времени, затрачиваемый при оказании стоматологической медицинской помощи на выполнение объема работы.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Прерванный случай оказания медицинской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помощи - случай оказания медицинской помощи в условиях круглосуточного или дневного стационаров в случаях прерывания лечения по медицинским показаниям, перевода пациента из одного отделения медицинской организации 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другое, изменения условий оказания медиц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инской помощи пациенту с круглосуточного стационара на дневной стационар и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при его письменном отказе от дальнейшего лечения, летального исхода, выписки пациента до истечения 3-х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дней (включительно) со дня госпитализации (начала лечения), за исключением случаев оказания медицинской помощи по группам заболеваний, состояний, с оптимальной длительностью лечения до 3-х дней включительно (далее - прерванный случай).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Дифференцированный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одушевой норматив - финансовый норматив на одно застрахованное лицо в месяц, предусматривающий различия в затратах на оказание медицинской помощи застрахованному лицу.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Вызов скорой медицинской помощи - обращение населения по поводу несчастных случаев, внез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апных заболеваний, родов, для экстренной транспортировки в стационар больных и пострадавших, а также по поводу чрезвычайных ситуаций, сопровождающихся потерями среди населения.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Мобильная медицинская бригада - медицинская бригада, обеспеченная одним или нес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колькими мобильными лечебно-диагностическими модулями, которая организуется медицинской организацией, оказывающей первичную медико-санитарную помощь, для оказания первичной медико-санитарной помощи населению, в том числе жителям населенных пунктов с преиму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щественным проживанием лиц старше трудоспособного возраста либо расположенных на значительном удалении от медицинской организации и (или) имеющих плохую транспортную доступность с учетом климато-географических условий.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Медицинские организации - заказчики (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далее - МО-заказчики) - медицинские организации, направляющие пациента для получения в установленном порядке медицинской помощи в другие медицинские организации, оплата которой осуществляется по тарифам, установленным в рамках настоящего Тарифного соглашен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Медицинские организации - исполнители (далее - МО-исполнители) - медицинские организации, оказывающие медицинские услуги по направлениям МО-заказчика.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Межучрежденческие расчеты - оплата медицинских услуг, оказанных МО-исполнителем по направлениям МО-за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казчиков.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Телемедицинские технологии - информационные технологии, обеспечивающие дистанционное взаимодействие медицинских работников между собой, с пациентами и (или) их законными представителями, идентификацию и аутентификацию указанных лиц, документирова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ние совершаемых ими действий при проведении консилиумов, консультаций, дистанционного медицинского наблюдения за состоянием здоровья пациента.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Углубленная диспансеризация - представляет собой комплекс мероприятий, который проводится дополнительно к профила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ктическим медицинским осмотрам или диспансеризации лицам, перенесшим новую коронавирусную инфекцию, а также гражданам, в отношении которых отсутствуют сведения о перенесенном заболевании новой коронавирусной инфекцией (COVID-19), включающий исследования 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иные медицинские вмешательства по перечню, который приведен в приложении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№ 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Территориальной программе государственных гарантий бесплатного оказания гражданам медицинской помощи в Омской области на 2026 год и на плановый период 2027 и 2028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годов, утвержд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енной постановлением Правительства Омской области от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25 декабря 2025 года № 710-п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(далее - Территориальная программа).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2. Способы оплаты медицинской помощи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4. Опла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 медицинской помощи производится медицинским организациям на основании договора на оказание и оплату медицинской помощи по обязательному медицинскому страхованию в пределах стоимости согласованных объемов медицинской помощи, определенных планом-заданием.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5. Перечень медицинских организаций по уровням оказания медицинской помощи в рамках ТП ОМС приведен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6. Перечень медицинских организаций по условиям оказания медицинской помощи в рамках ТП ОМС приведен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2"/>
      </w:pPr>
      <w:r>
        <w:rPr>
          <w:highlight w:val="none"/>
        </w:rPr>
      </w:r>
      <w:bookmarkStart w:id="1" w:name="Par67"/>
      <w:r>
        <w:rPr>
          <w:highlight w:val="none"/>
        </w:rPr>
      </w:r>
      <w:bookmarkEnd w:id="1"/>
      <w:r>
        <w:rPr>
          <w:rFonts w:ascii="Times New Roman" w:hAnsi="Times New Roman" w:cs="Times New Roman"/>
          <w:sz w:val="24"/>
          <w:szCs w:val="24"/>
          <w:highlight w:val="none"/>
        </w:rPr>
        <w:t xml:space="preserve">2.1. Оплата медицинской помощи, оказанной в амбулаторных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условиях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7. Перечень медицинских организаций, оказывающих медицинскую помощь в амбулаторных условиях, установлен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Таблицей 2.1 Приложения № 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8. Оплата медицинской помощи, оказанной в амбулаторных условиях, осуществляется в пределах стоимости согласованных объемов медицинской помощи, определенных планом-заданием: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 подушевому нормативу финансирования на прикрепив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шихся лиц (за исключением расходов на проведение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ого-анатомических исследований биопсийного (операционного) материала с целью диагностики онкологических заболеваний и подбора противоопухолевой лекарственной терапии (далее - молекулярно-генетические исследования и патолого-анатомические исследования биопс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ийного (операционного) материала), позитронной эмиссионной томографии и (или) позитронной эмиссионной томографии, совмещенной с компьютерной томографией, однофотонной эмиссионной компьютерной томографии и (или) однофотонной эмиссионной компьютерной томогра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фии, совмещенной с компьютерной томографией,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включая все виды сцинтиграфических исследований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(далее - ПЭТ/КТ и ОФЭКТ/ОФЭКТ-КТ),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неинвазивного пренатального тестирования (определения внеклеточной ДНК плода по крови матери), определения РНК-вируса гепатита 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(Hepatitis C virus) в крови методом полимеразной цепной реакции, лабораторной диагностики для пациентов с хроническим вирусным гепатитом С (оценка стадии фиброза, определение генотипа вируса гепатита С),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ведение школ для больных с хроническими неинфекц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ионными заболеваниями, в том числе с сахарным диабетом,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школ для беременных и по вопросам грудного вскармливания,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профилактических медицинских осмотров и диспансеризации, в том числе углубленной диспансеризации и диспансеризации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взрослого населения репрод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уктивного возраста по оценке репродуктивного здоровья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а также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оплату диспансерного наблюдения, включая диспансерное наблюдение работающих граждан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(или) обучающихся в образовательных организациях, посещений с профилактическими целями центров здоровья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(центров медицины здорового долголетия), включая динамическое наблюдение за выявленными предрисками и факторами риска развития заболеваний, дистанционное наблюдение за состоянием здоровья пациентов с артериальной гипертензией и сахарным диабетом, медицинск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ой помощи с применением телемедицинских технологий при дистанционном взаимодействии медицинских работников между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собой, в том числе при проведении консилиумов врачей, и при дистанционном взаимодействии медицинских работников с пациентами или их законными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редставителями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 финансовое обеспечение фельдшерско-акушерских пунктов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(фельдшерских пунктов, фельдшерских здравпунктов)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 учетом показателей результативности деятельности медицинской организации (включая показатели объема медицинской помощи), перечень кот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орых устанавливается Министерством здравоохранения Российской Федерации, в том числе с включением расходов на медицинскую помощь, оказываемую в иных медицинских организациях и оплачиваемую за единицу объема медицинской помощи;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за единицу объема медицинск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ой помощи - за медицинскую услугу, посещение, обращение (законченный случай) при оплате: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а)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б) медицинской помощи, оказанной в медицинских организациях, не имеющих прикрепивши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хся лиц;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в) медицинской помощи, оказанной медицинской организацией (в том числе по направлениям, выданным иной медицинской организацией), источником финансового обеспечения которой являются средства подушевого норматива финансирования на прикрепившихся лиц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получаемые иной медицинской организацией;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г) отдельных диагностических (лабораторных) исследований -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дований, молекулярно-генетических исследований и патолого-анатомических исследований биопсийного (операционного) материала, ПЭТ/КТ и ОФЭКТ/ОФЭКТ-КТ,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неинвазивного пренатального тестирования (определение внеклеточной ДНК плода по крови матери), определения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РНК-вируса гепатита С (Hepatitis C virus) в крови методом полимеразной цепной реакции, лабораторной диагностики для пациентов с хроническим вирусным гепатитом С (оценка стадии фиброза, определение генотипа вируса гепатита С)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д) профилактических медицинск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их осмотров и диспансеризации, в том числе углубленной диспансеризации и диспансеризации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взрослого населения репродуктивного возраста по оценке репродуктивного здоровья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е) диспансерного наблюдения отдельных категорий граждан из числа взрослого населения,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включая диспансерное наблюдение работающих граждан и (или) обучающихся в образовательных организациях;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ж)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посещений с профилактическими целями центров здоровья (центров медицины здорового долголетия), включая динамическое наблюдение за выявленными предриск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ами и факторами риска развития заболеваний;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з)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медицинских услуг (медицинских вмешательств), входящих в комплексное посещение по профилактическим осмотрам, диспансеризации, диспансеризации по оценке репродуктивного здоровья, диспансерному наблюдению, в слу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чае, когда часть медицинских услуг (медицинских вмешательств) проведена и оплачена в рамках иных случаев оказания медицинской помощи (включая иные виды медицинских осмотров, случаи госпитализации в стационарных условиях и случаи лечения в условиях дневного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стационара);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и)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дистанционного наблюдения за состоянием здоровья пациентов с артериальной гипертензией и сахарным диабетом;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медицинской помощи с при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л) медицинской помощи при ее оказании пациентам с хроническими неинфекционными заболеваниями, в том числе с сахарным диабетом, в части ведения школ, в том числе школ сахарного диабета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школ для беременных и по вопросам грудного вскармливания;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м) медицинской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омощи по медицинской реабилитации (комплексное посещение).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Финансовое обеспечение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фельдшерско-акушерских пунктов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(фельдшерских пунктов, фельдшерских здравпунктов)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фельдшерско-акушерские пункты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осуществляется в соответствии с установленными Территориальной про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граммой размерами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их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финансового обеспечения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учитывает критерий соответствия их требованиям, установленным приказом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Министерства здравоохранения Российской Федерации от 14.04.2025 № 202н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"Об утве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рждении Положения об организации оказания первичной медико-санитарной помощи взрослому населению" (далее - Приказ № 202н).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Учет и оплата медицинской помощи в части ведения школ для больных с хроническими неинфекционными заболеваниями, в том числе с примене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нием телемедицинских технологий,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школ для беременных и по вопросам грудного вскармливания,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осуществляется за комплексное посещение по тарифам, представленным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7.1 Приложения № 7.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Учет медицинской помощи при проведении одного обучения в рамках школы сахарного диабета, в том числе с применением телемедицин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ских технологий, осуществляется за комплексное посещение, которое включает в себя не менее двух занятий. При проведении для взрослого населения пяти занятий и более (для детей и подростков - десяти и более), в том числе с применением телемедицинских технол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огий, оплата производится по стоимости комплексного посещения по тарифам, представленным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7.2 Приложения № 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 В случае проведения для взрослого населения менее пяти занятий (для детей и подростков - менее десяти),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 том числе с применением телемедицинских технологий, оплата производится по количеству занятий, входящих в комплексное посещение, при условии проведения не менее двух занятий, по тарифам, представленным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7.2 Приложения № 7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Диспансерное наблюдение отдельных категорий граждан из числа взрослого населения (далее - диспансерное наблюдение взрослого населения) проводится в соответствии с приказом Министерства здравоохранения Российской Федерации от 15 марта 2022 года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№ 168н "Об утверждении порядка проведения диспансерного наблюдения за взрослыми" (далее - Приказ № 168н), приказом Министерства здравоохранения Российской Федерации от 4 июня 2020 года № 548н "Об утверждении порядка диспансерного наблюдения за взрослыми 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онкологическими заболеваниями". Диспансерное наблюдение работающих граждан и (или) обучающихся в образовательных организациях из числа взрослого населения проводится в соответствии с Приказом № 168н.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Диспансерное наблюдение детей, проживающих в организаци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ях социального обслуживания (детских домах-интернатах), предоставляющих социальные услуги в стационарной форме, проводится в соответствии с приказом Министерства здравоохранения Российской Федерации от 11 апреля 2025 года № 192н "Об утверждении порядка про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хождения несовершеннолетними диспансерного наблюдения, в том числе в период обучения и воспитания в образовательных организациях".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Диспансерное наблюдение взрослого населения с онкологическими заболеваниями проводится в ЦАОП или в БУЗОО "Клинический онколо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гический диспансер". При этом первый в текущем году диспансерный прием (осмотр, консультация) взрослого населения с онкологическими заболеваниями (в соответствии с приказом Министерства здравоохранения Российской Федерации от 4 июня 2020 года № 548н "Об ут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верждении порядка диспансерного наблюдения за взрослыми с онкологическими заболеваниями") включается в территориальный норматив объема медицинской помощи по диспансерному наблюдению и не оплачивается в рамках профилактических осмотров.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случаев диспа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нсерного наблюдения взрослого населения, включая диспансерное наблюдение работающих граждан и (или) обучающихся в образовательных организациях, осуществляется за комплексное посещение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21.1 Приложения № 21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случаев диспансерного наблюдения детей, проживающих в организациях социального обслуживания (детских домах-интернатах), предоставляющих социальные услуги в стационарной форме, осуществляется за комплексное посещение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аблице 21.1 Приложения № 21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Комплексное посещение в рамках диспансерного наблюдения взрослого населения считается завершенным и подлежит оплате в случае выполнения в полном объеме отдельных услуг, осмотров, исследований,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процедур, указанных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21.2 – 21.6 Приложения № 21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диализа, включающего различные методы, осуществляется за стоимость услуги с учетом количества фактически выполненных процедур диализа, в рамках одного случая лечения.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Для медицинских организаций, имеющих в структуре мобильные медицинские бригады, ус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танавливается повышающий коэффициент в размере 1,1 к тарифам на посещения, обращения, медицинские услуги при оказании медицинской помощи мобильными медицинскими бригадами. Стоимость посещения, обращения, медицинской услуги, рассчитанная с применением вышеу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казанного коэффициента, округляется по правилам математики до двух знаков после запятой.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оказания медицинской помощи гражданам на дому по профилю «медицинская реабилитация» (в амбулаторных условиях), к установленному тарифу, указанному 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№ 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соглашению, применяется повышающий коэффициент в размере 1,1, при этом стоимость комплексного посещения, рассчитанная с применением вышеуказанного коэффициента, округляется по правилам математики до двух знаков после запятой.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Финансовое обеспечение медицинской помощи с применением телемедицинских те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хнологий при дистанционном взаимодействии медицинских работников между собой, в том числе при проведении консилиумов врачей, и при дистанционном взаимодействии медицинских работников с пациентами или их законными представителями осуществляется за единицу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бъема медицинской помощи – консультацию по тарифам согласно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Приложению № 26.</w:t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sz w:val="24"/>
          <w:szCs w:val="24"/>
          <w:highlight w:val="none"/>
          <w14:ligatures w14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trike/>
          <w:sz w:val="24"/>
          <w:szCs w:val="24"/>
          <w:highlight w:val="none"/>
        </w:rPr>
      </w:pPr>
      <w:r>
        <w:rPr>
          <w:rFonts w:ascii="Times New Roman" w:hAnsi="Times New Roman" w:cs="Times New Roman"/>
          <w:strike/>
          <w:sz w:val="24"/>
          <w:szCs w:val="24"/>
          <w:highlight w:val="none"/>
        </w:rPr>
      </w:r>
      <w:r>
        <w:rPr>
          <w:rFonts w:ascii="Times New Roman" w:hAnsi="Times New Roman" w:cs="Times New Roman"/>
          <w:strike/>
          <w:sz w:val="24"/>
          <w:szCs w:val="24"/>
          <w:highlight w:val="none"/>
        </w:rPr>
      </w:r>
      <w:r>
        <w:rPr>
          <w:rFonts w:ascii="Times New Roman" w:hAnsi="Times New Roman" w:cs="Times New Roman"/>
          <w:strike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trike w:val="0"/>
          <w:sz w:val="24"/>
          <w:szCs w:val="24"/>
          <w:highlight w:val="none"/>
        </w:rPr>
      </w:pP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Оплата медицинской помощи при проведении дистанционного наблюдения за состоянием здоровья пациентов с артериальной гипертензией и сахарным диабетом осуществляется за единицу объема – комплексное посещение по тарифам согласно </w:t>
      </w:r>
      <w:r>
        <w:rPr>
          <w:rFonts w:ascii="Times New Roman" w:hAnsi="Times New Roman" w:cs="Times New Roman"/>
          <w:b/>
          <w:bCs/>
          <w:strike w:val="0"/>
          <w:sz w:val="24"/>
          <w:szCs w:val="24"/>
          <w:highlight w:val="none"/>
        </w:rPr>
        <w:t xml:space="preserve">Таблице 21.7 Приложения № 21.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Диагностические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исследования, проводимые в рамках профилактических медицинских осмотров или диспансеризации (1 и 2 этап), не могут осуществляться и оплачиваться в рамках плана-задания, установленного для отдельных диагностических (лабораторных) исследований. 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случае отс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утствия возможности осуществления части диагностических исследований (указанных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10.2 Приложения №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соглашению), проводимых в рамках профилактических медицинских осмотров или диспансеризации (1 и 2 этап), в медицинской орг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анизации, к которой прикреплено застрахованное лицо, оказание данных диагностических услуг может быть проведено в другой медицинской организации и оплачено в рамках взаиморасчетов между медицинскими организациями, на основании заключенных гражданско-правов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ых договоров.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9. В медицинских организациях, имеющих прикрепленное население, оплата консультирования медицинским психологом, по направлению лечащего врача, осуществляется: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 подушевому нормативу финансирования – консультирование пациентов из числа вете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ранов боевых действий, супруга (супруги) участника специальной вое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нной операции, а также супруга (супруги) участника специальной военной операции, пропавшего без вести, а также лиц, состоящих на диспансерном наблюдении по вопросам, связанным с имеющимся заболеванием и (или) состоянием, включенным в базовую программу ОМС;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за единицу объема (посещение) – консультирование женщин в период беременности, родов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послеродовой период по вопросам, связанным с имеющимся заболеванием и (или) состоянием, включенным в базовую программу ОМС, а также доабортное консультирование беременных женщин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Таблицам 9.19, 9.20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медицинских организациях, не имеющих прикрепленного населения, оплата консультирования медицинским психологом, по направлению лечащего врача, пац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иентов из числа ветеранов боевых действий,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супруга (супруги) участника специальной военной операции, а также супруга (супруги) участника специальной военной операции, пропавшего без вести, а также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лиц, состоящих на диспансерном наблюдении, женщин в период беременности, родов и послеродовой период по вопросам, связанным с имеющимся заболеванием и (или) состоянием, включенным в базовую программу ОМС, а также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доабортное консультирование беременных женщин осуществляется за единицу объема (посещение)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Таблицам 9.19, 9.20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10. Оплата медицинской помощи для медицинских организаций, имеющих прикрепи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вшихся лиц, осуществляется по подушевому нормативу финансирования на прикрепившихся лиц.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Базовый (средний) подушевой норматив финансирования на прикрепившихся лиц при оказании медицинской помощи в амбулато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рных условиях включает расходы на оплату медицинской помощи в рамках базовой программы обязательного медицинского страхования, в том числе первичную доврачебную, первичную врачебную медико-санитарную помощь, первичную специализированную медико-санитарную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омощь, организованную по территориально-участковому принципу, оказываемую в плановой форме в соответствии с установленными единицами объема медицинской помощи - посещение с профилактическими и иными целями, обращение в связи с заболеванием, за исключением: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медицинской помощи, оказываемой застрахованным лицам за пределами субъекта Российской Федерации, на территории которого выдан полис обязательного медицинского страхования;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медицинской помощи, оказанной в медицинс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ких организациях, не имеющих прикрепившихся лиц;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медицинскую помощь, оказываемую в неотложной форме;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диализа в амбулаторных условиях;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медицинской помощи по специальностям "акушерство и гинекология", "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аллергология и иммунология", "стоматология" (в том числе зубные врачи);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консультирования медицинским психологом, по направлению лечащего врача женщин в период беременности, родов и послеродовой период по вопросам, связанным с имеющим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ся заболеванием и (или) состоянием, включенным в базовую программу ОМС, а также доабортное консультирование беременных женщин;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профилактических медицинских осмотров;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первого и второго этапа диспансеризации, в том 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исле углубленной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диспансеризации и диспансеризации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взрослого населения репродуктивного возраста по оценке репродуктивного здоровья,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диспансеризации детей, проживающих в организациях социального обслуживания (детских домах-интернатах), предоставляющих социа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льные услуги в стационарной форме;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диспансерного наблюдения отдельных категорий граждан из числа взрослого населения, включая диспансерное наблюдение работающих граждан и (или) обучающихся в образовательных организациях, а также диспан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серного наблюдения детей, проживающих в организациях социального обслуживания (детских домах-интернатах), предоставляющих социальные услуги в стационарной форме;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медицинской помощи при ее оказании пациентам с хроническими неинфекционны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ми заболеваниями, в том числе с сахарным диабетом, в части ведения школ, в том числе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школ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сахарного диабета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школ для беременных и по вопросам грудного вскармливания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оказание медицинской помощи в амбулаторных условиях по профилю «медицинска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 реабилитация», в том числе оказанной гражданам на дому;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оказание медицинской помощи в травматологических пунктах;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  <w:u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оплату посещений с профилактическими целями центров здоровья (цен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тров медицины здорового долголетия)</w:t>
      </w:r>
      <w:r>
        <w:rPr>
          <w:rFonts w:ascii="Times New Roman" w:hAnsi="Times New Roman" w:cs="Times New Roman"/>
          <w:sz w:val="24"/>
          <w:szCs w:val="24"/>
          <w:highlight w:val="none"/>
          <w:u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  <w:u w:val="none"/>
        </w:rPr>
      </w:r>
      <w:r>
        <w:rPr>
          <w:rFonts w:ascii="Times New Roman" w:hAnsi="Times New Roman" w:cs="Times New Roman"/>
          <w:sz w:val="24"/>
          <w:szCs w:val="24"/>
          <w:highlight w:val="none"/>
          <w:u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u w:val="none"/>
        </w:rPr>
        <w:t xml:space="preserve">- расходов на оказание медицинской помощи в ЦАОП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расходов на оплату дистанционного наблюдения за состоянием здоровья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пациентов с артериальной гипертензией и сахарным диабетом;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медицинской помощи с применением телемедицинских технологий при дистанционном взаимодействии медицинских работников между собой, в том числе при проведении консилиумов врачей,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при дистанционном взаимодействии медицинских работников с пациентами или их законными представителями;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проведения отдельных диагностических (лабораторных) исследований (компьютерной томографии, магнитно-резонансной томографии, ультра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биопсийного (операционного) материала,</w:t>
      </w:r>
      <w:r>
        <w:rPr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ПЭТ/КТ и ОФЭКТ/ОФЭКТ-КТ,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неинвазивного прен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атального тестирования (определения внеклеточной ДНК плода по крови матери), определения РНК-вируса гепатита С (Hepatitis C virus) в крови методом полимеразной цепной реакции, лабораторной диагностики для пациентов с хроническим вирусным гепатитом С (оценк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стадии фиброза, определение генотипа вируса гепатита С),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соответствии с нормативами, установленными Территориальной программой;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проведения комбинированного эндотрахеального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наркоза при наличии медицинских показаний при оказании медицинской помощи детям по профилю "стоматология", при проведении магнитно-резонансной томографии, компьютерной томографии;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финансовое обеспечение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фельдшерско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-акушерских пунктов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соответствии с установленными программой государственных гарантий бесплатного оказания гражданам медицинской помощи нормативами финансирования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фельдшерско-ак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ушерских пунктов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 учетом коэффициента дифференциации и коэффициента специфики оказания медицинской помощи.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11. Расчет подушевого финансирования в амбулаторных условиях осуществляется в соответствии с Метод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ическими рекомендациями. При расчете дифференцированных подушевых нормативов финансирования медицинских организаций применяется коэффициент половозрастного состава, при этом лицам в возрасте 65 лет и старше устанавливается значение половозрастного коэффици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ента в размере не менее 1,6 (КДпв); коэффициент дифференциации на прикрепившихся к медицинской организации лиц с учетом наличия подразделений, расположенных в сельской местности, отдаленных территориях, поселках городского типа и малых городах с численност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ью населения до 50 тысяч человек и расходов на их содержание и оплату труда персонала (КДот); коэффициент уровня расходов медицинских организаций (учитывает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особенности плотности населения, транспортной доступности, климатические и географические особеннос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ти территории обслуживания населения, а также расходы, связанные с содержанием медицинской организации, в том числе в зависимости от размера и  площади медицинской организации) (КДур); коэффициент достижения целевых показателей уровня заработной платы меди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цинских работников, установленных "дорожными картами" развития здравоохранения в субъекте Российской Федерации (КДзп); коэффициент дифференциации (КД)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Приложение № 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12. Объем средств, направляемый на выплаты медицински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 организациям в случае достижения ими значений показателей результативности деятельности, составляет 2 % от базового подушевого норматива финансирования на прикрепившихся лиц.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Перечень показателей результативности деятельности медицинских организаций, кри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терии их оценки, порядок расчета значений показателей установлены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Приложением № 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 Перечень медицинских организаций с указанием показателей результативности, применяемых для указанных медицинских организаций установлен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ложением № 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Осуществление выплат медицинским организациям, имеющим прикрепленное население, за достижение целевых показателей результативности деятельности медицинской организации производится по итогам полугодия в соотв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етствии с Порядком, указанном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13. Оплата медицинской помощи, оказанной в амбулаторных условиях, осуществляется ежемесячно по подушевому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нормативу финансирования на прикрепившихся лиц, на основе среднемесячной численности прикрепленного населения по данным регионального сегмента единого регистра застрахованных лиц за отчетный месяц.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Размер финансового обеспечения медицинской организации, 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составе которой имеются фельдшерско-акушерские пункты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определяется с учетом размера средств, направляемых на оплату медицинской помощи за единицу объема (посещение, обращение, медицинская услуга), подушевого норматива финансиров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ания на прикрепившихся лиц, а также размера финансового обеспечения фельдшерско-акушерских пунктов, входящих в состав медицинской организации.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Размер финансового обеспечения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фельдшерско-акушерских пункт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определяется исходя из базового норматива финансовых затрат на финансовое обеспечение структурных подразделений, а также коэффициента специфики, применяемого к размеру данного норматива (в том числе с уч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етом расчетного объема средств на оплату консультаций, связанных с проведением санитарно-гигиенического обучения женщин по вопросам грудного вскармливания, предупреждения заболеваний репродуктивной системы, абортов и инфекций, передаваемых половым путем),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25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прекращения деятельности фельдшерско-акушерского пункта, что подтверждается уведомлением, поступившим в порядке, установленном Правилами обязательного медицинского страхования, утвержденн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ыми приказом Министерства здравоохранения Российской Федерации от 21 августа 2025 года № 496н, либо прекращением действия лицензии на осуществление медицинской деятельности, финансовое обеспечение такого фельдшерско-акушерского пункта прекращается с месяца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в котором произошли данные изменения. В случае открытия нового фельдшерско-акушерского пункта, а также изменения численности обслуживаемого населения, штатной численности фельдшерско-акушерских пунктов перерасчет размера финансового обеспечения фельдшерс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ко-акушерских пунктов осуществляется не реже одного раза в полугодие.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14. Оплата медицинской помощи для медицинских организаций, не имеющих прикрепившихся лиц, осуществляется за единицу объема медицинской помощи - за медицинскую услугу, посещение, обращени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 (законченный случай)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 Приложения № 9, Приложению № 11, Приложению № 13, Приложению № 14, Приложению № 15, Приложению № 21, Приложению № 26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оказании медицинской помощи врачом-офтал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ьмологом пациентам с установленным диагнозом сахарный диабет (код по МКБ-10: E10-E14) дополнительно к посещению с профилактической и иными целями/обращению по поводу заболевания могут быть проведены и оплачены исследования по тарифам согласно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Таблице 9.1.1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Приложения № 9, Таблице 14.1.1 Приложения № 14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15. Оплата амбулаторно-поликлинической помощи, оказанной лицу, застрахованному на территории Омской области, но не прикрепленному ни к одной из медицинских организаций на территории 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ской области, а также лицу, застрахованному на территории других субъектов Российской Федерации, осуществляется по тарифу за единицу объема медицинской помощи.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16. Посещения (обращения) к врачам-специалистам по специальностям "акушерство и гинекология", "а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ллергология и иммунология" и обращения в травматологический пункт оплачиваются за каждое посещение (обращение)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 Приложения № 9, Таблице 14.1 Приложения № 14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 в пределах стоимости согласованных объемов медицинской помощи, определенных планом-заданием.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2" w:name="Par122"/>
      <w:r>
        <w:rPr>
          <w:highlight w:val="none"/>
        </w:rPr>
      </w:r>
      <w:bookmarkEnd w:id="2"/>
      <w:r>
        <w:rPr>
          <w:rFonts w:ascii="Times New Roman" w:hAnsi="Times New Roman" w:cs="Times New Roman"/>
          <w:sz w:val="24"/>
          <w:szCs w:val="24"/>
          <w:highlight w:val="none"/>
        </w:rPr>
        <w:t xml:space="preserve">17. Профилактический медицинский осмотр и диспансеризация определенных групп взрослого населения проводятся в соответствии с пр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иказом Министерства здравоохранения Российской Федерации от 27 апреля 2021 года № 404н "Об утверждении Порядка проведения профилактического медицинского осмотра и диспансеризации определенных групп взрослого населения".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Профилактический медицинский осмотр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первый этап диспансеризации взрослого населения считаются завершенными в случае выполнения в течение календарного года не менее 85% от объема профилактического медицинского осмотра и первого этапа диспансеризации. Количество отдельных услуг, осмотров, ис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следований, процедур, составляющих 85% от объема профилактического медицинского осмотра и первого этапа диспансеризации, указано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Таблицах 9.4 - </w:t>
      </w:r>
      <w:hyperlink w:tooltip="Перечень" w:anchor="Par11005" w:history="1">
        <w:r>
          <w:rPr>
            <w:rFonts w:ascii="Times New Roman" w:hAnsi="Times New Roman" w:cs="Times New Roman"/>
            <w:b/>
            <w:sz w:val="24"/>
            <w:szCs w:val="24"/>
            <w:highlight w:val="none"/>
          </w:rPr>
          <w:t xml:space="preserve">9.7</w:t>
        </w:r>
      </w:hyperlink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этом обяза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тельным для всех граждан является проведение анкетирования и прием (осмотр) врачом по медицинской профилактике отделения (кабинета) медицинской профилактики или центра здоровья или фельдшером, а также проведение маммографии, исследование кала на скрытую кр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овь иммунохимическим качественным или количественным методом, осмотр фельдшером (акушеркой) или врачом акушером-гинекологом, взятие мазка с шейки матки, цитологическое исследование мазка с шейки матки, определение простат-специфического антигена в крови.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роведение в один календарный год профилактического медицинского осмотра в качестве самостоятельного мероприятия для возрастных категорий граждан, подлежащих диспансеризации, допускается в случае его проведения и включения в реестры счетов и счетов на оплат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 медицинской помощи в срок до начала проведения первого этапа диспансеризации. В случае проведения диспансеризации после профилактического осмотра в качестве самостоятельного мероприятия оплата первого этапа диспансеризации не осуществляется.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Дата начала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второго этапа диспансеризации не может быть ранее даты приема (осмотра) врача-терапевта (врача-терапевта участкового, врача-терапевта цехового врачебного участка, врача общей врачебной практики (семейного врача)), выполненного в рамках первого этапа диспан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серизации.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целях выявления ранних признаков дислипидемии и формирования атеросклероза одновременно с прохождением профилактического медицинского осмотра или диспансеризации организуются однократное определение уровня липопротеида (a) в крови у всех пациентов в возра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те 18 - 40 лет и оценка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очень низкой плотности, триглицериды) у пациентов в возрасте 18 - 39 лет - один раз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 6 лет, у пациентов с 40 лет и старше - один раз в 3 года.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Граждане, переболевшие новой коронавирусной инфекцией (COVID-19), включая случаи заболеваний, когда отсутствует подтверждение перенесенной новой коронавирусной инфекции (COVID-19) методом ПЦР-диагностики, в течение года после заболевания вправе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пройти углубленную диспансеризацию, включающую исследования и иные медицинские вмешательства по перечню, который приведен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Территориальной программе.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Для женщин и мужчин репродуктивного возраста поэтапно в зависимости от возрастных груп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п, в том числе одновременно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 прохождением профилактического осмотра или диспансеризации, организуется проведение диспансеризации взрослого населения репродуктивного возраста по оценке репродуктивного здоровья, включающей исследования и иные медицинские вмешательства по перечню согла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Программе государственных гарантий бесплатного оказания гражданам медицинской помощи на 2026 год и на плановый период 2027 и 2028 годов, утвержденной постановлением Правительства Российской Федерации от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29 декабря 2025 года № 2188</w:t>
      </w:r>
      <w:bookmarkStart w:id="3" w:name="Par128"/>
      <w:r>
        <w:rPr>
          <w:highlight w:val="none"/>
        </w:rPr>
      </w:r>
      <w:bookmarkEnd w:id="3"/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  <w:t xml:space="preserve">ри проведении профилактического медицинского осмотра и диспансеризации могут учитываться результаты ранее проведенных (не позднее одного года) медицинских осмотров и диспансеризации, подтвержденные медицинскими документами гражданина, за исключением случае</w:t>
      </w: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  <w:t xml:space="preserve">в</w:t>
      </w: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  <w:t xml:space="preserve"> выявления у него симптомов и синдромов заболеваний,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диспансеризации. В этом случае ст</w:t>
      </w: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  <w:t xml:space="preserve">оимость такого профилактического медицинского осмотра или такой диспансеризации уменьшается на стоимость ранее проведенных медицинских вмешательств.</w:t>
      </w: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strike w:val="0"/>
          <w:color w:val="000000" w:themeColor="text1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18. Диспансеризация отдельных групп детского населения, в том числе проведенная с участием мобильной медицинской бригады, проводится в соответствии с нормативными актами: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приказ Министерства здраво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охранения Российской Федерации от 14 апреля 2025 года № 212н "Об утверждении порядка проведения диспансеризации пребывающих в стационарных учреждениях детей-сирот и детей, находящихся в трудной жизненной ситуации, учетной формы № 030/у-Д/с, порядка ее веде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ния, а также формы отраслевого статистического наблюдения № 030/о-Д/с, порядка ее заполнения";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приказ Министерства здравоохранения Российской Федерации от 21 апреля 2022 года № 275н "Об утверждении Порядка диспансеризации детей-сирот и детей, оставшихся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без попечения родителей, в том числе усыновленных (удочеренных), принятых под опеку (попечительство), в приемную или патронатную семью".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Профилактические медицинские осмотры детского населения, в том числе проведенные с участием мобильной медицинской брига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ды, осуществляются по следующим нормативным актам: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приказ Министерства здравоохранения Российской Федерации от 13 октября 2015 года № 711н "Об утверждении формы направления на медицинское обследование, а также перечня исследований при проведении медицинс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кого обследования и формы заключения о состоянии здоровья ребенка-сироты, ребенка, оставшегося без попечения родителей, помещаемого под надзор в организацию для детей-сирот и детей, оставшихся без попечения родителей";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приказ Министерства здравоохранения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Российской Федерации от 14 апреля 2025 года № 211н "Об утверждении порядка прохождения несовершеннолетними профилактических медицинских осмотров, учетной формы № 030-ПО/у "Карта профилактического медицинского осмотра несовершеннолетнего", порядка ее веден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ия, а также формы отраслевого статистического наблюдения № 030-ПО/о "Сведения о профилактических медицинских осмотрах несовершеннолетних", порядка ее заполнения".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19. Оплата диспансеризации определенных групп населения и профилактических медицинских осмотр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ов, в том числе в рамках диспансеризации (указанные в пунктах 17, </w:t>
      </w:r>
      <w:hyperlink w:tooltip="18. Диспансеризация отдельных групп детского населения, в том числе проведенная с участием мобильной медицинской бригады, проводится в соответствии с нормативными актами:" w:anchor="Par128" w:history="1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18</w:t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настоящего Тарифного соглашения), осуществляется за единицу объема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Таблицам 9.2 - 9.3, 9.8 - 9.10, 9.12, 9.17, 9.18 Приложения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trike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исследований, направленных на определение уровня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липопротеида (a) в крови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оценку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очень низкой плотности, триглицериды)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рамках подушевого норматива финансирования.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</w:rPr>
        <w:t xml:space="preserve">При этом указанные исследования, проведенные </w:t>
      </w:r>
      <w:r>
        <w:rPr>
          <w:rFonts w:ascii="Times New Roman" w:hAnsi="Times New Roman" w:cs="Times New Roman"/>
          <w:strike w:val="0"/>
          <w:sz w:val="24"/>
          <w:szCs w:val="24"/>
          <w:highlight w:val="none"/>
        </w:rPr>
        <w:t xml:space="preserve">лицам, застрахованным за пределами Омской области, оплачиваются без применения межучрежденческих расчетов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 тарифам согласно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Таблице 10.1 Приложения № 10.</w:t>
      </w:r>
      <w:r>
        <w:rPr>
          <w:rFonts w:ascii="Times New Roman" w:hAnsi="Times New Roman" w:cs="Times New Roman"/>
          <w:strike/>
          <w:sz w:val="24"/>
          <w:szCs w:val="24"/>
          <w:highlight w:val="none"/>
        </w:rPr>
      </w:r>
      <w:r>
        <w:rPr>
          <w:rFonts w:ascii="Times New Roman" w:hAnsi="Times New Roman" w:cs="Times New Roman"/>
          <w:strike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диспансеризации определенных групп населения по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итогам проведения второго этапа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осуществляется за единицу объема, за оказание отдельных медицинских услуг (осмотр (консультация) врачами-специалистами, обследования), в том числе проведенных с участием мобильной медицинской бригады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ице 9.8 Приложения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углубленной диспансеризации осуществляется за комплексное посещение, за единицу объема оказания медицинской помощи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9.12 Приложения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 учетом фактически выполненных объемов исследований и медицинских вмешательств. Оплата за комплексное посещение осуществляется только при выполнении всех процедур, исследований 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иных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медицинских вмешательств, включенных в комплексное посещение в рамках 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глубленной диспансеризации. Оплата отдельных процедур, исследований и медицинских вмешательств, включенных в комплексное посещение, за единицу объема не осуществляется. При отсутствии принятого к оплате комплексного посещения углубленной диспансеризации,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стальные процедуры, исследования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иные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медицинские вмешательства, включенные в углубленную диспансеризацию (в том числе 2 этапа), оплате не подлежат.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второго этапа углубленной диспансеризации осуществляется по тарифам за единицу объема оказания мед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ицинской помощи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9.12 Приложения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первого этапа диспансеризации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взрослого населения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репродуктивного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возраста по оценке репродуктивного здоровья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осуществляется за комплексное посещение при выполне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нии 100 % объема исследований и иных медицинских вмешательств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9.17 Приложения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второго этапа диспансеризации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взрослого населения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репродуктивного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возраста по оценке репродуктивного здо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ровья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осуществляется за единицу объема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9.18 Приложения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этом оплата исследования B03.053.002 "Спермограмма" осуществляется:</w:t>
      </w:r>
      <w:r>
        <w:rPr>
          <w:highlight w:val="none"/>
        </w:rPr>
      </w:r>
      <w:r>
        <w:rPr>
          <w:highlight w:val="none"/>
        </w:rPr>
      </w:r>
    </w:p>
    <w:p>
      <w:pPr>
        <w:pStyle w:val="889"/>
        <w:ind w:firstLine="540"/>
        <w:jc w:val="both"/>
        <w:spacing w:before="200"/>
        <w:rPr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в рамках межучрежденческих расчетов по тарифу согласно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Таблице 10.1 Приложения №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 - в случае взятия биологического материала медицинской организацией, осуществляющей диспансеризацию взрослого населения репродуктивного возраста по оценке репродуктивного здоровья, для проведен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ия исследования в иной медицинской организации;</w:t>
      </w:r>
      <w:r>
        <w:rPr>
          <w:highlight w:val="none"/>
        </w:rPr>
      </w:r>
      <w:r>
        <w:rPr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за единицу объема медицинской организации выполнившей исследование по тарифу согласно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Таблице 9.18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 - в случае направления пациента для сдачи биологического 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атериала в медицинскую организацию, осуществляющую выполнение данного исследования, согласно распоряжению Министерства здравоохранения Омской области от 18 апреля 2025 года № 214-р "О проведении диспансеризации взрослого населения репродуктивного возраста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 оценке репродуктивного здоровья на территории Омской области в 2025 году".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отказа несовершеннолетнего (его родителя или иного законного представителя) от проведения одного или нескольких медицинских вмешательств, предусмотренных в рамках профил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актического осмотра, профилактический осмотр считается завершенным в объеме проведенных осмотров врачами-специалистами и выполненных исследований. Тариф определяется на основании фактически выполненных осмотров, исследований, процедур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9.13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 и используется для оплаты медицинской помощи, оказанной лицам, застрахованным за пределами Омской области.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Для медицинских организаций, имеющих в структуре мобильные медицинские бригады, устанавливается пов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ышающий коэффициент в размере 1,1 к тарифам профилактического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медицинского осмотра и диспансеризации при оказании медицинской помощи мобильными медицинскими бригадами.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проведения в полном объем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 профилактического медицинского осмотра или первого этапа диспансеризации в течение одного календарного дня, приходящегося на выходной день (суббота, воскресенье и праздничные дни), к установленным тарифам применяется повышающий коэффициент в размере 1,1.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Стоимость комплексного посещения, рассчитанная с применением вышеуказанных коэффициентов, округляется по правилам математики до двух знаков после запятой.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выявления подозрения на злокачественное новообразование в ходе проведения диспансеризации 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ли профилактических медицинских осмотров населения, при формировании реестров счетов обязательно заполнение поля NAPR_MO (код медицинской организации, куда оформлено направление) и поле NAPR_DATE (дата направления).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20. При проведении медико-экономического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контроля диспансеризация отдельных групп населения (1 этап), а также профилактические медицинские осмотры отдельных групп населения, в том числе проведенные с участием мобильной медицинской бригады, учитываются в комплексных посещениях.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проведении мед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ико-экономического контроля, в случае выявления предоставления медицинской организацией на оплату отдельных диагностических (лабораторных) исследований в составе комплексных посещений по диспансеризации отдельных групп населения (1 и 2 этап), а также профи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лактических медицинских осмотров отдельных групп населения, в том числе проведенных с участием мобильной медицинской бригады, при наличии отдельных диагностических (лабораторных) исследований: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поданных на оплату в рамках утвержденного плана-задания на ди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агностические (лабораторные) исследования другой медицинской организацией, комплексные посещения или законченный случай 2 этапа диспансеризации отклоняются от оплаты;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поданных на оплату в рамках утвержденного плана-задания на диагностические (лабораторны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е) исследования этой же медицинской организацией, отклоняются от оплаты диагностические (лабораторные) исследования.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Исключением из вышеуказанного порядка являются диагностические (лабораторные) исследования, оказанные ранее, до даты начала проведения дисп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ансеризации или профилактического медицинского осмотра.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21. Оплата медицинской помощи, оказанной в центрах здоровья медицинских организаций, осуществляется за единицу объема – комплексное посещение, в соответствии с тарифами, установленными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Приложением № 1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b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22. Оплата медицинской помощи взрослому населению в ЦАОП, а также поликлинике БУЗОО «Клинический онкологический диспансер» осуществляется за единицу объема - посещение и оплачивается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Таблицам 9.14 –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9.16 Приложения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соглашению,  при этом дополнительно к посещению могут быть проведены и оплачены исследования согласно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Таблице 9.16.1 Приложения № 9.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медицинской помощи по выполнению комплекса диагностических и инструментал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ьных обследований гражданам, впервые обратившимся в календарном году в ЦАОП, а также поликлинику БУЗОО «Клинический онкологический диспансер», производится по стоимости первичного посещения. В случае выявления другого онкологического заболевания (отличие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ервых трех знаков кода заболевания по МКБ-10), возможно осуществление в течение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одного календарного года оплаты более одного первичного посещения.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медицинской помощи, оказанной гражданам, повторно обратившимся в ЦАОП, а также поликлинику БУЗОО «Клин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ический онкологический диспансер» после проведения первичного посещения, производится по стоимости повторного посещения по тарифу, указанному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9.14 Приложения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медицинской помощи, оказанной гражданам,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братившимся в ЦАОП, а также поликлинику БУЗОО «Клинический онкологический диспансер», с установленным диагнозом онкологического заболевания, нуждающихся в проведении лекарственного (химиотерапевтического) или лучевого лечения, гормонотерапии, биопсии образ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ований и/или перед оперативным лечением в стационарных условиях и/или в условиях дневного стационара, производится по тарифу, указанному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9.15 Приложения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первичного посещения в ЦАОП, а также поликлиник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 БУЗОО «Клинический онкологический диспансер», осуществляется в полном объеме в случае выполнения не менее 85% от объема первичного посещения ЦАОП. Общее количество отдельных услуг (исследований, приема врача-онколога), составляющих 100% от объема первичн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ого посещения ЦАОП, включает 10 единиц, перечень которых указан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9.14 Приложения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определении процента выполнения объема первичного посещения ЦАОП, а также поликлиники БУЗОО «Клинический онкологический дис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пансер», учитываются только услуги (исследования, прием врача-онколога), указанные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в Таблице 9.14 Приложения № 9.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 случае выполнения более одной услуги (исследования, приема врача-онколога) по одной позиции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Таблицы 9.14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при расчете процент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исполнения учитывается только одна позиция (единица первичного посещения).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выполнения менее 85% от объема первичного посещения ЦАОП, а также поликлиники БУЗОО «Клинический онкологический диспансер», оплата первичного посещения производится в зав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исимости от фактического объема выполненных услуг (исследований, приема врача-онколога). Оплате подлежат не более одной позиции по каждой из 10 видов услуг (исследований, приема врача-онколога), на которые установлены тарифы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9.14 Приложения № 9.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Услуги (исследования, прием врача-онколога), не включенные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Таблицу 9.14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не подлежат оплате в рамках первичного посещения ЦАОП. Максимальная стоимость первичного посещения при выполнении менее 85% от объема первичного посещения ЦАОП, а так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же поликлиники БУЗОО «Клинический онкологический диспансер» с учетом проведения УЗИ одной зоны составляет 3 098,57 рублей, с учетом проведения УЗИ двух зон и более - составляет 3 362,12 рублей.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Дата проведения исследования (услуги), включенная в первичное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посещение ЦАОП, а также поликлиники БУЗОО «Клинический онкологический диспансер», не может быть ранее 7 рабочих дней от даты приема врача-онколога в рамках первичного посещения ЦАОП, а также поликлиники БУЗОО «Клинический онкологический диспансер».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 учит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ываются в первичном посещении и не отражаются в реестре на оплату медицинской помощи исследования (услуги), проведенные вне первичного посещения в ЦАОП, а также поликлинике БУЗОО «Клинический онкологический диспансер» (за исключением исследований, проведен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ных в рамках межучрежденческих расчетов) или осуществленные ранее 7 рабочих до даты приема врача-онколога в рамках первичного посещения.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посещения обратившихся в ЦАОП, а также поликлинику БУЗОО «Клинический онкологический диспансер», граждан с устан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овленным диагнозом онкологического заболевания,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нуждающихся в проведении лекарственного (химиотерапевтического) или лучевого лечения, гормонотерапии, биопсии образований и (или) перед оперативным лечением в стационарных условиях и (или) в условиях дневного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стационара, осуществляется в полном объеме в случае выполнения не менее 85% от объема данного посещения ЦАОП. Общее количество отдельных услуг (исследований, приема врача-онколога) составляющих 100% от объема данного посещения ЦАОП включает 10 единиц, пер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ечень которых указан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9.15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определении процента выполнения объема посещения обратившихся в ЦАОП, а также поликлинику БУЗОО «Клинический онкологический диспансер», граждан с установленным диагно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зом онкологического заболевания, нуждающихся в проведении лекарственного (химиотерапевтического) или лучевого лечения, гормонотерапии, биопсии образований и (или) перед оперативным лечением в стационарных условиях и (или) в условиях дневного стационара, уч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итываются только услуги (исследования, прием врача-онколога), указанные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9.15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случае выполнения более одной услуги (исследования, приема врача-онколога) по одной позиции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Таблицы 9.15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при расчете процента исполнения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учитывается только одна позиция (единица данного посещения).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выполнения менее 85% от объема посещения обратившихся в ЦАОП, а также поликлинику БУЗОО «Клинический онкологический диспансер», граждан с установленным диагнозом онкологического заболев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ания, нуждающихся в проведении лекарственного (химиотерапевтического) или лучевого лечения гормонотерапии, биопсии образований и (или) перед оперативным лечением в стационарных условиях и (или) в условиях дневного стационара, оплата посещения производится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зависимости от фактического объема выполненных услуг (исследований, приема врача-онколога). Оплате подлежат не более одной позиции по каждой из 8 видов услуг (исследований, приема врача-онколога), на которые установлены тарифы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9.15 Приложения №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Услуги (исследования, прием врача-онколога), не включенные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Таблицу 9.15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не подлежат оплате в рамках данного посещения ЦАОП, а также поликлиники БУЗОО «Клинический онкологический диспансер». Максимальная стоимость посещения при выполне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нии менее 85% от объема данного посещения ЦАОП, а также поликлиники БУЗОО «Клинический онкологический диспансер», составляет 3 018,46 рубля.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посещен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ий ЦАОП, а также посещений в поликлинику БУЗОО «Клинический онкологический диспансер», с целью проведения отдельных видов исследований, проводимых в ЦАОП, а также поликлинике БУЗОО «Клинический онкологический диспансер», осуществляется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9.16 Приложения № 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 В случаях проведения двух и более видов исследований, проводимых в один день посещения ЦАОП, а также поликлиники БУЗОО «Клинический онкологический диспансер» оплата производится по сумме тарифов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9.16 Приложения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№ 9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 применением понижающего коэффициента 0,85.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формировании реестров счетов обязательное заполнение поля NPR_MO (код медицинской организации, направившей пациента) и поле NPR_DATE (дата направления).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4" w:name="Par166"/>
      <w:r>
        <w:rPr>
          <w:highlight w:val="none"/>
        </w:rPr>
      </w:r>
      <w:bookmarkEnd w:id="4"/>
      <w:r>
        <w:rPr>
          <w:rFonts w:ascii="Times New Roman" w:hAnsi="Times New Roman" w:cs="Times New Roman"/>
          <w:sz w:val="24"/>
          <w:szCs w:val="24"/>
          <w:highlight w:val="none"/>
        </w:rPr>
        <w:t xml:space="preserve">23. Оплата отдельных диагностических (лабораторны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х) исследований - компьютерной томографии, магнитно-резонансной томографии, ультразвукового исследования сердечно-сосудистой системы, эндоскопических диагностических исследований, молекулярно-генетических исследований и патолого-анатомических исследований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биопсийного (операционного) материала, ПЭТ/КТ и ОФЭКТ/ОФЭКТ-КТ,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неинвазивного пренатального тестирования (определения внеклеточной ДНК плода по крови матери), определения РНК-вируса гепатита С (Hepatitis C virus) в крови методом полимеразной цепной реакции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лабораторной диагностики для пациентов с хроническим вирусным гепатитом С (оценка стадии фиброза, определение генотипа вируса гепатита С),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осуществляется в рамках плана-задания на амбулаторно-поликлиническую помощь и оплачивается СМО за единицу объема -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медицинскую услугу по тарифам в соответствии с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Таблицей 10.2 Приложения №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 без применения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межучрежденческих расчетов, при наличии направления на исследования от лечащего врача, оказывающего первичную медико-санитарную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омощь, в том числе первичную специализированную медико-санитарную помощь, при наличии медицинских показаний.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лечебно-диагностических услуг (исследований), оказанных лицам, застрахованным за пределами Омской области, осуществляется без применения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межучрежденческих расчетов по тарифам в соответствии с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Таблицами 10.1, 10.2 Приложения №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соглашению, при наличии направления на исследования от врача, оказывающего первичную медико-санитарную помощь, в том числе первичную специали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зированную.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лечебно-диагностических услуг (исследований), оказанных лицам, застрахованным за пределами Омской области, в соответствии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с Таблицей 10.1 Приложения №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 не осуществляется, в случае наличия направления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 врача, выданного в период оказания медицинской помощи в условиях круглосуточного или дневного стационара.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Медицинские организации учет проведенных лечебно-диагностических услуг (исследований) осуществляют в соответствии с кодами номенклатуры медицинских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услуг в соответствии с приказом Министерства здравоохранения Российской Федерации от 13 октября 2017 года № 804н "Об утверждении номенклатуры медицинских услуг" в разрезе медицинских организаций, выдавших направление на проведение лечебно-диагностических 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слуг. При формировании реестров счетов обязательное заполнение поля NPR_MO (код медицинской организации, направившей пациента на исследование) и поле NPR_DATE (дата направления на исследование).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лечебно-диагностических услуг (исследований) (за исклю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чением указанных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10.2 Приложения № 10)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осуществляется за счет средств направившей медицинской организации в рамках межучрежденческих расчетов СМО по тарифам в соответствии с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Таблицей 10.1 Приложения №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соглашению, при это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 оплата лечебно-диагностических услуг (исследований), указанных 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строках 663 -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8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0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8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осуществляется только при соблюдении следующих требований: проведение лечебно-диагностических услуг (исследований) в неотложной форме в период оказания медицинской помощи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застрахованному лицу в условиях круглосуточного стационара в экстренной или неотложной формах.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отдельных диагностических (лабораторных) исследований в неотложной форме - молекулярно-генетических исследований и патолого-анатомических исследований био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псийного (операционного) материала (по тарифам в соответствии с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Таблицей 10.1 Приложения №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соглашению, указанных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в строках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775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8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0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 случае если фактическое выполнение - результат (описание врача) сформирован в период оказания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стационарной помощи в плановой форме (в связи с продолжительностью проведения исследования), осуществляется, если направление на выполнение вышеуказанных отдельных диагностических (лабораторных) исследований сформировано во время оказания медицинской помо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щи застрахованному лицу в условиях круглосуточного стационара в экстренной или неотложной формах.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отдельных диагностических (лабораторных) исследований - молекулярно-генетических исследований и патолого-анатомических исследований биопсийного (операц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ионного) материала (по тарифам в соответствии с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Таблицей 10.2 Приложения №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соглашению), в случае если фактическое выполнение - результат (описание врача) сформирован в период оказания стационарной помощи, осуществляется, если напр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авление на выполнение вышеуказанных отдельных диагностических (лабораторных) исследований сформировано во время оказания пациенту амбулаторно-поликлинической помощи.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диагностических исследований при проведении магнитно-резонансной томографии с контр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астированием нескольких зон и компьютерной томографии с контрастированием нескольких зон, выполненные одному пациенту в один день в одной медицинской организации,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производится по сумме тарифов согласно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Таблице 10.1, 10.2 Приложения №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 с применением понижающих коэффициентов: 0,65 - при исследовании двух зон; 0,5 - при исследовании трех зон.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24. При оплате амбулаторной стоматологической медицинской помощи по посещениям и обращениям учитываются условные единицы трудоемкости (далее – УЕТ), согласно среднему количест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ву УЕТ в одной медицинской услуге, указанных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12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стоматологической помощи в амбулаторных условиях основана на соблюдении принципа максимальной санации полости рта и зубов (лечение 2–х, 3–х зубов) за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дно посещение. Для планирования объема финансовых средств на оплату стоматологической помощи в амбулаторных условиях учитывается средняя кратность УЕТ в одном посещении 4,2.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 одну УЕТ принимаются 10 минут. При этом для учета случаев лечения обязательно 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спользуется следующее правило: один визит пациента является одним посещением.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Стоимость УЕТ, используемая при оплате медицинской помощи по специальности "стоматология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"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(в том числе зубные врачи) является единой при оплате медицинской помощи, оказанной как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взрослому, так и детскому населению, и установлена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пункте 68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Тарифного соглашения.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Рассчитанная стоимость посещения (обращения) по стоматологии округляется по правилам математики до двух знаков после запятой.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25. Оплата неотложной амбулаторной медицинско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й помощи, в том числе оказания неотложной медицинской помощи (в том числе с использованием параклинических методов исследования) в приемном отделении стационара пациенту, госпитализация которого не состоялась, осуществляется в пределах стоимости согласован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ных объемов медицинской помощи, определенных планом-заданием, по тарифам в соответствии с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Приложением № 13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26. Оказание медицинской помощи, проведение обязательных диагностических исследований гражданам при постановке их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 воинский учет, призыве или поступлении на военную службу по контракту или приравненную к ней службу, поступлении в военные профессиональные образовательные организации высшего образования, призыве на военные сборы, а также при направлении на альтернати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вную гражданскую службу, за исключением медицинского освидетельствования в целях определения годности граждан к военной или приравненной к ней службе, оплачивается как посещение с профилактической целью.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27. При проведении профилактического осмотра врачом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или медицинским работником со средним медицинским образованием, ведущим самостоятельный прием, без постановки диагноза и направлении пациента к соответствующему специалисту для установки диагноза, медицинская помощь оплачивается как посещение с профилактич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еской целью. Посещения с иными целями к среднему медицинскому персоналу, ведущему самостоятельный прием, учитываются как посещения с профилактической и иными целями. Посещение у консультирующего специалиста в случае установления диагноза должно быть учтено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как разовое посещение в связи с заболеванием.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28. Повторное посещение врача одной и той же специальности в один и тот же день при оказании медицинской помощи в амбулаторных условиях, за исключением повторного посещения для определения показаний к госпитал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изации, операции, консультациям в других медицинских организациях, посещений школ для больных с хроническими неинфекционными заболеваниями, оплачивается как одно посещение.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29. Обращение как законченный случай лечения складывается из первичных и повторных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посещений. Актуализация диагноза в процессе наблюдения по одному случаю не приводит к формированию нового случая.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обращений по поводу заболевания осуществляется по тарифам в соответствии с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Приложением № 14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бращений по поводу заболевания с целью постановки диагноза и назначения терапии пациентам с хроническим вирусным гепатитом С в соответствии с клиническими рекомендациями осуществляется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14.2 Приложения № 14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 при наличии выполненных в полном объеме исследований, услуг, процедур, осмотров, указанных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14.3 Приложения № 14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 (выполненных непосредственно в медицинской организации или выполн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енных для медицинской организации в рамках межучрежденческих расчетов или гражданско-правового договора).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отсутствия возможности в медицинской организации осуществления диагностических (лабораторных) исследований в рамках обращений по поводу забол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евания с целью постановки диагноза и назначения терапии пациентам с хроническим вирусным гепатитом C в соответствии с клиническими рекомендациями, диагностические (лабораторные) исследования проводятся в другой медицинской организации и оплачиваются в рамк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ах межучрежденческих расчетов между медицинскими организациями (за исключением диагностических (лабораторных) исследований, указанных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10.2 Приложения №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Тарифного соглашения) или на основании заключенных гражданско-правовых договоров.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использования медицинской организацией результата исследования "Эзофагогастродуоденоскопия", проведенного в другой медицинской организации (не ранее 30 дней до даты начала обращения), и не оплаченного в рамках гражданско-правового договора, оплата обращени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 по поводу заболевания с целью постановки диагноза и назначения терапии пациентам с хроническим вирусным гепатитом C в соответствии с клиническими рекомендациями производится по тарифу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строке 3 Таблицы 14.2 Приложения № 14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30. При учете объемов и формировании реестров счетов по "Обращению по поводу заболевания" необходимо руководствоваться, что к обращениям по поводу заболевания относятся законченные случаи лечения с кратностью не менее двух посещений по поводу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дного заболевания (складывается из первичных и повторных посещений).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31. В случае отсутствия повторного посещения учет осуществляется как разовое посещение в связи с заболеванием. Если в рамках законченного случая лечения заболевания требуется дополнительн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ая консультация врачей других специальностей, необходимо оформлять отдельный талон на посещение к каждому врачу-специалисту, проводившему дополнительную консультацию, а учет объема медицинской помощи осуществляется как разовое посещение в связи с заболеван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ием.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если первичное посещение (включаемое в обращение по заболеванию) оказано в одном отчетном периоде, а последующие должны были быть оказаны в последующем отчетном периоде, но в результате неявки пациента на повторный прием сформировать обращени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 по заболеванию не представляется возможным, медицинская организация имеет право включить первичное посещение, оказанное в одном из двух предыдущих отчетных периодов, в реестр за отчетный период как разовое посещение в связи с заболеванием.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Медицинская ор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ганизация, не имеющая прикрепленного населения, имеет право включить прерванный случай обращения по поводу заболевания, оказанный в месяц, предшествующий отчетному периоду, в реестр за отчетный период.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Особые случаи объединения посещений и формирования обр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ащения по поводу одного заболевания: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первичное посещение осуществляется к терапевту или педиатру, а повторное посещение осуществляется к фельдшеру или врачу общей практики (семейному врачу);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первичное посещение осуществляется к фельдшеру или врачу обще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й практики (семейному врачу), а повторное посещение осуществляется к терапевту или педиатру;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- первичное посещение осуществляется к врачу общей практики (семейному врачу), а повторное посещение осуществляется к фельдшеру, в том числе фельдшеру ФАП;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первичное посещение осуществляется к фельдшеру, в том числе фельдшеру ФАП, а повторное посещение осуществляется к врачу общей практики (семейному врачу);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первичное посещение осуществляется к фельдшеру ФАПа или смотрового кабинета, а повторное посещение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осуществляется к врачу-онкологу первичного онкологического кабинета;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первичное посещение осуществляется к зубному врачу, а повторное посещение осуществляется к стоматологу;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первичное посещение осуществляется к стоматологу, а повторное посещение осущес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твляется к зубному врачу.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вышеуказанных особых случаях тариф устанавливается в соответствии со специальностью специалиста, закрывшего обращение.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32. В случае перехода сроков лечения на последующие календарные месяцы общая длительность обращения определяе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тся сроками временной нетрудоспособности пациента по основному заболеванию, если экспертиза временной нетрудоспособности не требуется, общая длительность обращения не должна превышать более трех отчетных месяцев, при этом в медицинской карте пациента, полу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чающего амбулаторное лечение, необходимо оформление ежемесячных этапных эпикризов.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33. Прерванный случай обращения по поводу заболевания (если лечение прервано по инициативе пациента или лечение прервано по инициативе лечащего врача) с одним посещением офо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рмляется как "Разовое посещение в связи с заболеванием", с двумя и более посещениями оформляется как "Обращение по поводу заболевания".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Согласно приказу Федерального фонда обязательного медицинского страхования от 7 апреля 2011 года № 79 "Об утверждении об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страхования", по прерванным случаям в реестрах указывается причина, по которой услуга не оказана или оказана не 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полном объеме: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документированный отказ больного;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медицинские противопоказания;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прочие причины (умер, переведен в другое отделение и пр.);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ранее проведенные услуги в пределах установленных сроков.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34. Обращение по поводу наблюдения беременности счит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ается завершенным по каждому триместру беременности (триместр - период из трех месяцев, составляющий одну треть беременности).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35. Для расчета услуг диализа применяются коэффициенты относительной затратоемкости к базовому тарифу.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Стоимость одной услуги диа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лиза определяется по формуле (значение округляется до двух знаков после запятой по правилам математики):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Суд = БТд x КЗд, где: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БТд - базовый тариф на оплату гемодиализа/перитонеального диализа;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КЗд - коэффициент относительной затратоемкости, установлен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риложением № 15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5" w:name="Par219"/>
      <w:r>
        <w:rPr>
          <w:highlight w:val="none"/>
        </w:rPr>
      </w:r>
      <w:bookmarkEnd w:id="5"/>
      <w:r>
        <w:rPr>
          <w:rFonts w:ascii="Times New Roman" w:hAnsi="Times New Roman" w:cs="Times New Roman"/>
          <w:sz w:val="24"/>
          <w:szCs w:val="24"/>
          <w:highlight w:val="none"/>
        </w:rPr>
        <w:t xml:space="preserve">36. Межучрежденческие расчеты осуществляются между медицинскими организациями, которые заключили договоры на оказание и оплату медицинской помощи по обязательному медицинскому страхованию, в целях обеспече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ния доступности оказания медицинской помощи в рамках ТП ОМС, соблюдения порядков оказания медицинской помощи и на основе стандартов оказания медицинской помощи в соответствии с тарифами, утвержденными настоящим Тарифным соглашением. Случаи, включенные в 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естр счетов медицинской помощи, оказанные амбулаторно, в период пребывания застрахованного лица в условиях стационара (кроме дня поступления и выписки из стационара, а также оказания медицинской помощи (консультаций) в других медицинских организациях в экс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тренной и неотложной форме), оплате не подлежат.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1) МО-исполнитель при направлении застрахованных граждан на исследования или поступлении биологического материала от медицинских организаций для проведения исследований, указанных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в Таблице 10.1 Приложения №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10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формирует реестры счетов за оказанную медицинскую помощь в рамках межучрежденческих расчетов с указанием вида и условий оказания медицинской помощи. СМО на основании данных поля NPR_MO поступивших реестров определяют суммы финансирования, которые необ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ходимо направить в рамках межучрежденческих расчетов из суммы финансирования МО-заказчика с учетом условия оказания медицинской помощи за отчетный месяц (дифференцированно по медицинской помощи в условиях круглосуточного стационара, дневного стационара, пр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оказании медицинской помощи в амбулаторных условиях (с профилактической целью и иными целями, в связи с заболеванием, неотложной медицинской помощью)), соответствующего условию оказания медицинской помощи пациенту (в случае финансирования данного условия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оказания медицинской помощи МО-заказчика по подушевому нормативу финансирования удержание производится с подушевого финансирования), для которого проведены исследования, на финансирование медицинской помощи, оказанной МО-исполнителем;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2) межучрежденческие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расчеты между медицинскими организациями осуществляются СМО на основании направлений МО-заказчика, а также в случаях, предусмотренных распоряжением Министерства здравоохранения Омской области от 10 апреля 2017 года № 137-р "Об организации обследования (ле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чения) граждан Российской Федерации при первоначальной постановке на воинский учет и призыве на военную службу" (далее - распоряжение № 137-р), - по направлениям военных комиссариатов муниципальных районов Омской области, военных комиссариатов администрати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вных округов муниципального образования городской округ город Омск Омской области (далее - военные комиссариаты), по тарифам, установленным настоящим Тарифным соглашением в рамках и в пределах подушевого норматива финансирования по специальностям, включенн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ым в объемы подушевого финансирования. В случае превышения объема межучрежденческих расчетов над объемом подушевого финансирования МО-заказчика медицинская помощь, оказанная МО-исполнителем, оплачивается в сумме, не превышающей объема подушевого финансиров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ания текущего периода МО-заказчика.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Показания для направления прикрепленных граждан в иные медицинские организации определяет МО-заказчик, а в случаях, определенных распоряжением № 137-р, - военные комиссариаты. В случае выдачи направления: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МО-заказчиком лицу, прикрепленному к иной медицинской организации, медицинская помощь оплачивается за счет средств направившей медицинской организации;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военным комиссариатом медицинская помощь оплачивается за счет средств медицинской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организации, к кот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орой прикреплен застрахованный.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медицинской помощи, оказанной МО-исполнителем по направлениям МО-заказчика и военных комиссариатов, осуществляется за единицу объема медицинской помощи - за посещение, за обращение (законченный случай).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Медицинская по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мощь в рамках межучрежденческих расчетов в плановой форме оказывается на основании направлений МО-заказчика и военных комиссариатов.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Дифференцированный подушевой норматив финансирования медицинских организаций включает в себя средства, направляемые на межу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чрежденческие расчеты.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рамках межучрежденческих расчетов осуществляется оплата за медицинскую помощь (посещения с профилактическими и иными целями, обращения по пов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оду заболевания), оказанную населению, прикрепленному к МО-заказчикам, и по направлениям военных комиссариатов, за исключением посещений в ЦАОП, комплексных посещений по диспансерному наблюдению, комплексных посещений по профилю "медицинская реабилитация".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МО-исполнитель ведет учет посещений с профилактическими и иными целями, обращений по поводу заболевания в разрезе медицинских организаций и военных комиссариатов, выдавших направление на оказание медицинской помощи. При формировании реестров счетов обязат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ельно заполнение поля NPR_MO (код МО-заказчика). При оказании медицинской помощи по направлению военного комиссариата в поле NPR_MO МО-исполнителем указывается код МО, к которой прикреплен застрахованный на момент оказания медицинской помощи, при этом в по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ле CODE_USL указывается код "AMB.1.97.VK" (Посещение с профилактической целью (воен. комис.)) или "AMB.1.99.VK" (Посещение по заболеванию (воен. комис.)) из справочника услуг (spr_uslugi). В случае некорректного заполнения поля NPR_MO, в том числе указания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кода МО, не участвующей в межучрежденческих расчетах, случай оплате не подлежит. Направление, выданное пациенту МО-заказчиком или военным комиссариатом, учитывается МО-исполнителем не только при первичном приеме, а также при последующих повторных приемах,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осуществляемых врачом МО-исполнителя, при этом МО-исполнитель формирует обращение в связи с заболеванием не чаще 1 раза в месяц.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МО-исполнитель ежемесячно формирует реестры счетов за оказанную медицинскую помощь в рамках межучрежденческих расчетов и напра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вляет в установленные сроки в территориальный фонд ОМС Омской области (далее - ТФОМС Омской области). После проведения медико-экономического контроля поступивших реестров и на основании данных поля NPR_MO СМО определяют суммы финансирования, которые необхо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димо направить в рамках межучрежденческих расчетов из суммы дифференцированного подушевого норматива финансирования МО-заказчика или МО, к которой прикреплен застрахованный, получивший медицинскую помощь по направлению военного комиссариата (дифференцирова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нно по медицинской помощи с профилактической целью и иными целями, в связи с заболеванием), за отчетный месяц, на финансирование медицинской помощи, оказанной МО-исполнителем.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Если фактическое выполнение - результат проведенных лабораторных исследований, 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казанных в строках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1 - 273, 291 - 416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 xml:space="preserve">Таблицы 10.1 Приложения № 10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соглашению, сформирован после даты смерти застрахованного лица, оплата указанных исследований МО-исполнителю осуществляется, в случае если дата направления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/дата взятия биологического материала на исследование (поле реестра - NPR_DATE) не позднее даты смерти.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2"/>
      </w:pPr>
      <w:r>
        <w:rPr>
          <w:highlight w:val="none"/>
        </w:rPr>
      </w:r>
      <w:bookmarkStart w:id="6" w:name="Par232"/>
      <w:r>
        <w:rPr>
          <w:highlight w:val="none"/>
        </w:rPr>
      </w:r>
      <w:bookmarkEnd w:id="6"/>
      <w:r>
        <w:rPr>
          <w:rFonts w:ascii="Times New Roman" w:hAnsi="Times New Roman" w:cs="Times New Roman"/>
          <w:sz w:val="24"/>
          <w:szCs w:val="24"/>
          <w:highlight w:val="none"/>
        </w:rPr>
        <w:t xml:space="preserve">2.2. Оплата медицинской помощи, оказываемой в условиях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круглосуточного стационара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 Перечень медицинских организаций, оказывающих медицинскую помощь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 условиях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круглосуточного стационара, установлен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Таблицей 2.2 Приложения № 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38. Оплата медицинской помощи, оказываемой в стационарных условиях, в том числе для медицинской реабилитации в специализированных медицинских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организациях (структурных подразделениях), осуществляется в пределах стоимости согласованных объемов медицинской помощи, определенных планом-заданием: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за случай госпитализации (законченный случай лечения) по поводу заболевания, включенного в соответствую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щую группу заболеваний (в том числе клинико-статистическую группу заболеваний, группу высокотехнологичной медицинской помощи), в том числе в сочетании с оплатой за услугу диализа;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за прерванный случай госпитализации в случаях прерывания лечения по медици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нским показаниям, перевода пациента из одного отделения медицинской организации в другое, изменения условий оказания медицинской помощи пациенту с круглосуточного стационара на дневной стационар, оказания медицинской помощи с проведением лекарственной тера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ях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прерывания лечения при возникнов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ении абсолютных противопоказаний к продолжению лечения, не купируемых при проведении симптоматического лечения, перевода пациента в другую медицинскую организацию, преждевременной выписки пациента из медицинской организации в случае его письменного отказа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 дальнейшего лечения, смерти пациента, выписки пациента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состояний, приведенных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ящему Тарифному соглашению, в том числе в сочетании с оплатой за услугу диализа.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Случаи оказания высокотехнологичной медицинской помощи (далее - ВМП) оплачиваются на основании норматива финансовых затрат, установленного в Территориальной программе.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39. Рас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пределение медицинских организаций по уровням оказания медицинской помощи произведено на основании приказа Министерства здравоохранения Российской Федерации от 10 февраля 2023 года № 44н "Об утверждении Требований к структуре и содержанию тарифного соглаше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ния", подуровни выделены с учетом сложившихся расходов медицинских организаций на единицу затратоемкости в соответствии с Методическими рекомендациями и в разрезе структурных подразделений, в том числе с учетом оказания высокотехнологичной медицинской помо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щи.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Для структурных подразделений медицинских организаций 2-го уровня оказания медицинской помощи, осуществляющих оказание медицинской помощи по клинико-статистическим группам, относящихся к клинико-профильным группам "Детская онкология" и "Онкология", в 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лучае коэффициента подуровня медицинской организации в условиях круглосуточного стационара менее 1, применяется коэффициент подуровня оказания медицинской помощи в размере 1.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40. Отнесение случаев лечения к конкретной КСГ на основании классификационных кри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териев, которые соответствуют данному случаю, осуществляется в соответствии с алгоритмом группировки, указанном в Методических рекомендациях, а также в соответствии с расшифровкой КСГ для медицинской помощи, оказанной в стационарных условиях.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Перечень поправочных коэффициентов, применяемых к КСГ, представлен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Перечень КСГ, в которых не предусмотрена возможность выбора между критерием диагноза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 услуги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проведении оперативного лечения, для оплаты медицинской помощи представлен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17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41. Объем финансового обеспечения медицинской организации, оказавшей медицинскую помощь в стационарных условиях (ФОмо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), определяется как сумма стоимости всех случаев госпитализации в отчетном периоде: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position w:val="-10"/>
          <w:sz w:val="24"/>
          <w:szCs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69720" cy="259080"/>
                <wp:effectExtent l="0" t="0" r="0" b="762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5697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23.60pt;height:20.4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ССксг - стоимость законченного случая госпитализации в стационарных условиях по КСГ, рублей.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42. Стоимость одного случая госпитализации в стационаре по КСГ (ССксг) (кро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 ВМП) (за исключением КСГ, в составе которых установлены доли заработной платы и прочих расходов) определяется по формуле (значение округляется до двух знаков после запятой по правилам математики):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ССксг = БС x КД x КЗксг x КСксг x КУСмо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+ БС x КД * x КСЛП, где: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БС - размер базовой ставки в стационарных условиях без учета коэффициента дифференциации, рублей;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КЗксг - коэффициент относительной затратоемкости КСГ, к которой отнесен данный случай госпитализации;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КСксг - коэффициент специфики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КСГ, к которой отнесен данный случай госпитализации;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КУСмо - коэффициент подуровня оказания медицинской помощи в медицинской организации в условиях круглосуточного стационара, установлен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Таблицей 18.1 Приложения № 18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КСЛ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 - коэффициент сложности лечения пациента, установлен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Приложением № 19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КД - коэффициент дифференциации, рассчитанный в соответствии с постановлением Правительства Российской Федерации от 05.05.2012 № 462 "О порядке распр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еделения,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 Российской Федерации полномочий Российской Федерации в сфере обязательного медицинского страхования" (далее - Постановление № 462), который для Омской области составляет 1,105;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* - КД не применяется для КСЛП "проведение сопроводительной лекарственной те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рапии при злокачественных новообразованиях у взрослых в соответствии с клиническими рекомендациями (уровень 1-3)" (равно единице).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 если в рамках одной госпитализации возможно применение нескольких КСЛП, итоговое значение КСЛП рассчитывается путем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суммирования соответствующих КСЛП: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КСЛПсумм = КСЛП</w:t>
      </w:r>
      <w:r>
        <w:rPr>
          <w:rFonts w:ascii="Times New Roman" w:hAnsi="Times New Roman" w:cs="Times New Roman"/>
          <w:sz w:val="24"/>
          <w:szCs w:val="24"/>
          <w:highlight w:val="none"/>
          <w:vertAlign w:val="subscript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+ КСЛП</w:t>
      </w:r>
      <w:r>
        <w:rPr>
          <w:rFonts w:ascii="Times New Roman" w:hAnsi="Times New Roman" w:cs="Times New Roman"/>
          <w:sz w:val="24"/>
          <w:szCs w:val="24"/>
          <w:highlight w:val="none"/>
          <w:vertAlign w:val="sub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+ КСЛП</w:t>
      </w:r>
      <w:r>
        <w:rPr>
          <w:rFonts w:ascii="Times New Roman" w:hAnsi="Times New Roman" w:cs="Times New Roman"/>
          <w:sz w:val="24"/>
          <w:szCs w:val="24"/>
          <w:highlight w:val="none"/>
          <w:vertAlign w:val="subscript"/>
        </w:rPr>
        <w:t xml:space="preserve">n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отсутствии оснований применения КСЛП, значение параметра КСЛП при расчете стоимости законченного случая лечения принимается равным 0.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Стоимость одного случая госпитализации по КСГ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(ССксг), в составе которых установлена доля заработной платы и прочих расходов, определяется по следующей формуле (значение округляется до двух знаков после запятой по правилам математики):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ССксг = БС x КЗксг x ((1 - Дзп)</w:t>
      </w:r>
      <w:r>
        <w:rPr>
          <w:rFonts w:ascii="Times New Roman" w:hAnsi="Times New Roman" w:cs="Times New Roman"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+ Дзп x КСксг x КУСмо x КД) + БС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x КД * x КСЛП, где: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Дзп - доля заработной платы и прочих расходов в структуре стоимости КСГ (устанавливаемое на федеральном уровне значение, к которому применяется КД, КСксг и КУСмо)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* - КД не применяется для КСЛП "проведение сопроводительной лекарственной терапии при злокачественных новообразованиях у взрослых в соответствии с клиническими рекомендациями (уровень 1-3)" (равно единице).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7" w:name="Par277"/>
      <w:r>
        <w:rPr>
          <w:highlight w:val="none"/>
        </w:rPr>
      </w:r>
      <w:bookmarkEnd w:id="7"/>
      <w:r>
        <w:rPr>
          <w:rFonts w:ascii="Times New Roman" w:hAnsi="Times New Roman" w:cs="Times New Roman"/>
          <w:sz w:val="24"/>
          <w:szCs w:val="24"/>
          <w:highlight w:val="none"/>
        </w:rPr>
        <w:t xml:space="preserve">43. К прерванным случаям оказания медицинской пом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ощи относятся: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8" w:name="Par278"/>
      <w:r>
        <w:rPr>
          <w:highlight w:val="none"/>
        </w:rPr>
      </w:r>
      <w:bookmarkEnd w:id="8"/>
      <w:r>
        <w:rPr>
          <w:rFonts w:ascii="Times New Roman" w:hAnsi="Times New Roman" w:cs="Times New Roman"/>
          <w:sz w:val="24"/>
          <w:szCs w:val="24"/>
          <w:highlight w:val="none"/>
        </w:rPr>
        <w:t xml:space="preserve">1) случаи прерывания лечения по медицинским показаниям;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9" w:name="Par279"/>
      <w:r>
        <w:rPr>
          <w:highlight w:val="none"/>
        </w:rPr>
      </w:r>
      <w:bookmarkEnd w:id="9"/>
      <w:r>
        <w:rPr>
          <w:rFonts w:ascii="Times New Roman" w:hAnsi="Times New Roman" w:cs="Times New Roman"/>
          <w:sz w:val="24"/>
          <w:szCs w:val="24"/>
          <w:highlight w:val="none"/>
        </w:rPr>
        <w:t xml:space="preserve">2) случаи прерывания лечения при переводе пациента из одного отделения медицинской организации в другое;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3) случаи изменения условий оказания медицинской помощи (перевод пациента из ста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ционарных условий в условия дневного стационара);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10" w:name="Par281"/>
      <w:r>
        <w:rPr>
          <w:highlight w:val="none"/>
        </w:rPr>
      </w:r>
      <w:bookmarkEnd w:id="10"/>
      <w:r>
        <w:rPr>
          <w:rFonts w:ascii="Times New Roman" w:hAnsi="Times New Roman" w:cs="Times New Roman"/>
          <w:sz w:val="24"/>
          <w:szCs w:val="24"/>
          <w:highlight w:val="none"/>
        </w:rPr>
        <w:t xml:space="preserve">4) случаи перевода пациента в другую медицинскую организацию;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5) случаи прерывания лечения вследствие преждевременной выписки пациента из медицинской организации, обусловленной его письменным отказом от дал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ьнейшего лечения;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11" w:name="Par283"/>
      <w:r>
        <w:rPr>
          <w:highlight w:val="none"/>
        </w:rPr>
      </w:r>
      <w:bookmarkEnd w:id="11"/>
      <w:r>
        <w:rPr>
          <w:rFonts w:ascii="Times New Roman" w:hAnsi="Times New Roman" w:cs="Times New Roman"/>
          <w:sz w:val="24"/>
          <w:szCs w:val="24"/>
          <w:highlight w:val="none"/>
        </w:rPr>
        <w:t xml:space="preserve">6) случаи лечения, закончившиеся смертью пациента (летальным исходом);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12" w:name="Par284"/>
      <w:r>
        <w:rPr>
          <w:highlight w:val="none"/>
        </w:rPr>
      </w:r>
      <w:bookmarkEnd w:id="12"/>
      <w:r>
        <w:rPr>
          <w:rFonts w:ascii="Times New Roman" w:hAnsi="Times New Roman" w:cs="Times New Roman"/>
          <w:sz w:val="24"/>
          <w:szCs w:val="24"/>
          <w:highlight w:val="none"/>
        </w:rPr>
        <w:t xml:space="preserve">7) случаи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кого лечения;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8) законченные случаи лечения (не являющиеся прерванными по основаниям, изложенным в подпунктах 1 - </w:t>
      </w:r>
      <w:hyperlink w:tooltip="7) случаи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" w:anchor="Par284" w:history="1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7</w:t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данного пункта) длительностью 3 дня и менее по КСГ, не включенным в перечень КСГ, для которых оптимальны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 сроком лечения является период менее 3 дней включительно, установленным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13" w:name="Par286"/>
      <w:r>
        <w:rPr>
          <w:highlight w:val="none"/>
        </w:rPr>
      </w:r>
      <w:bookmarkEnd w:id="13"/>
      <w:r>
        <w:rPr>
          <w:rFonts w:ascii="Times New Roman" w:hAnsi="Times New Roman" w:cs="Times New Roman"/>
          <w:sz w:val="24"/>
          <w:szCs w:val="24"/>
          <w:highlight w:val="none"/>
        </w:rPr>
        <w:t xml:space="preserve">9)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случаи медицинской реабилитации по КСГ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st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37.002,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st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37.003,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st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37.006,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st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37.007,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st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37.024,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st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37.025,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st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37.026,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st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37.027,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st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37.028,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st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37.029,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st37.031,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st37.032,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st37.033,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st37.034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 длительностью лечения менее количества дней, определенных в "Группировщике".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случае, если перевод пациента из одного отделения медицинской организации в другое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обусловлен возникновением (наличием) нового заболевания или состояния, относящегося к тому же классу МКБ-10, что и диагноз основного заболевания, и (или) являющегося следствием закономерного прогрессирования основного заболевания, внутрибольничной инфекции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или осложнением основного заболевания, что не соответствует критериям оплаты случая госпитализации/лечения по двум КСГ, оплата производится в рамках одного случая лечения по КСГ с наибольшим размером оплаты, а отнесение такого случая к прерванным по основ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анию, изложенному в подпункте 2 данного пункта не производится.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оплате случаев лечения, подлежащих оплате по двум КСГ по основаниям, изложенным в подпунктах 2 - 10 пункта 44 настоящего Тарифного соглашения, случай до перевода не может считаться прерван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ным по основаниям, изложенным в подпунктах 2 - </w:t>
      </w:r>
      <w:hyperlink w:tooltip="4) случаи перевода пациента в другую медицинскую организацию;" w:anchor="Par281" w:history="1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4</w:t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данного пункта.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Приложением № 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 определен перечень КСГ, для которых длительност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 3 дня и менее является оптимальными сроками лечения. Законченный случай оказания медицинской помощи по данным КСГ не может быть отнесен к прерванным случаям по основаниям, связанным с длительностью лечения, и оплачивается в полном объеме независимо от дл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ительности лечения. При этом в случае наличия оснований прерванности, не связанных с длительностью лечения, случай оказания медицинской помощи оплачивается как прерванный на общих основаниях.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случаев оказания медицинской помощи, являющихся прерванны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ми, за исключением основания, связанного с проведением лекарственной терапии при ЗНО не в полном объеме, определяется в зависимости от выполнения хирургического вмешательства и (или) проведения тромболитической терапии, являющихся классификационным критери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ем отнесения данного случая лечения к конкретной КСГ.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случае, если пациенту было выполнено хирургическое вмешательство и (или) была проведена тромболитическая терапия (перечень КСГ, которые предполагают хирургическое вмешательство и (или) тромболитическу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ю терапию представлен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), случай оплачивается в размере: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а) при длительности лечения 3 дня и менее - 80% от стоимости КСГ;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б) при длительности лечения более 3-х дней - 100% от стоимости КСГ;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если хирургическое вмешательство и (или) тромбо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литическая терапия не проводились, случай оплачивается в размере: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а) при длительности лечения 3 дня и менее - 40% от стоимости КСГ;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б) при длительности лечения более 3-х дней - 80% от стоимости КСГ;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Случаи проведения лекарственной терапии пациентам в возра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сте 18 лет и старше и случаи медицинской реабилитации, являющиеся прерванными по основаниям, изложенным в подпункте 7, </w:t>
      </w:r>
      <w:hyperlink w:tooltip="9) случаи медицинской реабилитации по КСГ st37.002, st37.003, st37.006, st37.007, st37.024, st37.025, st37.026 с длительностью лечения менее количества дней, определенных в &quot;Группировщике&quot;, являющимся Приложением 6 к Методическим рекомендациям." w:anchor="Par286" w:history="1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9</w:t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данного пункта, оплачиваются аналогично случаям лечения, когда хирургическое вмешательство и (или) тромболитическ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ая терапия не проводились.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trike/>
          <w:color w:val="ff0000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Порядок определения полноты выполнения схемы лекарственной терапии при злокачественных новообразованиях (кроме лимфоидной и кроветворной тканей) у пациентов в возрасте 18 лет и старше, при лечении хронических вирусных гепатитов С и В с дельта агентом (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D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лечении с применением генно-инженерных биологических препаратов и селективных иммунодепрессантов установлен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подпункте 4.2.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пункта 4 раздела </w:t>
      </w:r>
      <w:r>
        <w:rPr>
          <w:rFonts w:ascii="Times New Roman" w:hAnsi="Times New Roman" w:cs="Times New Roman"/>
          <w:b/>
          <w:sz w:val="24"/>
          <w:szCs w:val="24"/>
          <w:highlight w:val="none"/>
          <w:lang w:val="en-US"/>
        </w:rPr>
        <w:t xml:space="preserve">I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Методических рекомендаций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trike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trike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strike/>
          <w:color w:val="ff0000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Проведение патолого-анатомических вскрытий (посмертное патолого-анатомическое ис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следование внутренних органов и тканей умершего человека, новорожденных, а также мертворожденных и плодов) осуществляется в патолого-анатомических отделениях медицинских организаций, участвующих в реализации Территориальной программы ОМС, имеющих лицензии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осуществление медицинской деятельности, предусматривающие выполнение работ (услуг) по патологической анатомии, в случае смерти застрахованного лица при получении медицинской помощи в стационарных условиях (результат госпитализации) по поводу заболеваний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и (или) состояний, включенных в базовую программу ОМС, в указанных медицинских организациях осуществляется за счет средств ОМС. Проведенные патолого-анатомические вскрытия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мертворожденных и плодов предъявляются на оплату в одном отчетном периоде (месяце)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со случаем госпитализации беременной в стационарных условиях при наличии основного диагноза класса XV "Беременность, роды и послеродовой период (О00-О99)" МКБ-10.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этом возмещение расходов медицинской организации, имеющей в своей структуре патолого-анат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омическое отделение, на проведение патолого-анатомических вскрытий осуществляются в рамках оплаты прерванного случая госпитализации по соответствующей клинико-статистической группе заболеваний/состояний.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проведении патолого-анатомических вскрытий пацие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нтов, умерших в стационаре медицинских организаций, в которых отсутствует патолого-анатомическое отделение, оплата патолого-анатомических вскрытий осуществляется в рамках межучрежденческих расчетов по тарифам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27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Рассчитанная стоимость прерванного случая лечения округляется по правилам математики до двух десятичных знаков после запятой.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44. Медицинская помощь, оказываемая пациентам одновременно по двум и более КСГ, осуществляется в следующих случаях: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1) перевод пациента из одного отделения медицинской организации в другое в рамках круглосуточного стационара (в том числе в случае перевода из круглосуточного стационара в дневной стационар), если это обусловлено возникновением (наличием) нового заболевани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 или состояния, входящего в другой класс МКБ-10 и не являющегося следствием закономерного прогрессирования основного заболевания, внутрибольничной инфекции или осложнением основного заболевания, а также при переводе пациента из одной медицинской организац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ии в другую, оба случая лечения заболевания подлежат оплате в рамках соответствующих КСГ, при этом случай лечения до осуществления перевода относится к прерванным по основаниям, установленным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пунктом 43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настоящего Тарифного соглашения;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14" w:name="Par310"/>
      <w:r>
        <w:rPr>
          <w:highlight w:val="none"/>
        </w:rPr>
      </w:r>
      <w:bookmarkEnd w:id="14"/>
      <w:r>
        <w:rPr>
          <w:rFonts w:ascii="Times New Roman" w:hAnsi="Times New Roman" w:cs="Times New Roman"/>
          <w:sz w:val="24"/>
          <w:szCs w:val="24"/>
          <w:highlight w:val="none"/>
        </w:rPr>
        <w:t xml:space="preserve">2) проведение медици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нской реабилитации пациента после завершения лечения в той же медицинской организации по поводу заболевания, по которому осуществлялось лечение;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3) оказание медицинской помощи, связанной с установкой, заменой порт-системы (катетера) для лекарственной терап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ии злокачественных новообразований с последующим проведением лекарственной терапии или после хирургического лечения в рамках одной госпитализации;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4) этапное хирургическое лечение при злокачественных новообразованиях, не предусматривающее выписку пациента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из стационара;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5) проведение реинфузии аутокрови, балонной внутриаортальной контрпульсации, или экстракорпоральной мембранной оксигенации на фоне лечения основного заболевания;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6) дородовая госпитализация пациентки в отделение патологии беременности в случ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ае пребывания в отделении патологии беременности в течение 6 дней и более с последующим родоразрешением.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Также осуществляется оплата по двум КСГ в случае дородовой госпитализации пациентки в отделение патологии беременности и пребывания в нем в течение 2 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ней и более с последующим родоразрешением при оказании медицинской помощи по следующим МКБ-10: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O14.1 Тяжелая преэклампсия;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O34.2 Послеоперационный рубец матки, требующий предоставления медицинской помощи матери;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O36.3 Признаки внутриутробной гипоксии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плода, требующие предоставления медицинской помощи матери;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O36.4 Внутриутробная гибель плода, требующая предоставления медицинской помощи матери;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O42.2 Преждевременный разрыв плодных оболочек, задержка родов, связанная с проводимой терапией;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7) наличие у пациента тяжелой сопутствующей патологии, требующей в ходе оказания медицинской помощи в период госпитализации имплантации в организм пациента медицинского изделия;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8) проведение иммунизации против респираторно-синцитиальной вирусной инфекции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период госпитализации по поводу лечения нарушений, возникающих в перинатальном периоде, являющихся показанием к иммунизации;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15" w:name="Par323"/>
      <w:r>
        <w:rPr>
          <w:highlight w:val="none"/>
        </w:rPr>
      </w:r>
      <w:bookmarkEnd w:id="15"/>
      <w:r>
        <w:rPr>
          <w:rFonts w:ascii="Times New Roman" w:hAnsi="Times New Roman" w:cs="Times New Roman"/>
          <w:sz w:val="24"/>
          <w:szCs w:val="24"/>
          <w:highlight w:val="none"/>
        </w:rPr>
        <w:t xml:space="preserve">9) проведение антимикробной терапии инфекций, вызванных полирезистентными микроорганизмами;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10) в случае длительности госпитализа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ции при лекарственной терапии пациентов со злокачественными новообразованиями лимфоидной и кроветворной тканей более 30 дней.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45. При оказании медицинской помощи пациентам, получающим услуги диализа, оплата в стационарных условиях осуществляется за услугу диализа только в сочетании с основной КСГ, являющейся поводом для госпитализации, или со случаем оказания ВМП.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46. 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круглосуточном стационаре день поступления и день выписки засчитываются за один день. Стоимость случая лечения рассчитывается в соответствии с тарифным соглашением, действующим на момент выписки больного.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2"/>
      </w:pPr>
      <w:r>
        <w:rPr>
          <w:highlight w:val="none"/>
        </w:rPr>
      </w:r>
      <w:bookmarkStart w:id="16" w:name="Par328"/>
      <w:r>
        <w:rPr>
          <w:highlight w:val="none"/>
        </w:rPr>
      </w:r>
      <w:bookmarkEnd w:id="16"/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2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2.3. Оплата медицинской помощи, оказываемой в усл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овиях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дневного стационара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47. Перечень медицинских организаций, оказывающих медицинскую помощь в условиях дневного стационара, установлен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Таблицей 2.3 Приложения № 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48. Оплата медицинской помощи, оказываемой в условиях дневного стационара, осуществляется в пределах стоимости согласованных объемов медицинской помощи, определенных планом-заданием: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за случай (законченный случай) лечения заболевания, включенного в соотв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етствующую группу заболеваний (в том числе клинико-статистическую группу заболеваний, группу высокотехнологичной медицинской помощи), за услугу диализа (в том числе в сочетании с оплатой по клинико-статистической группе заболеваний, группе высокотехнологич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ной медицинской помощи);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за прерванный случай оказания медицинской помощи в случаях прерывания лечения по медицинским показаниям, перевода пациента из одного отделения медицинской организации в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другое, изменения условий оказания медицинской помощи пациен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ту с дневного стационара на круглосуточный стационар,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лечения, перевода пациента в другую меди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цинскую организацию, преждевременной выписки пациента из медицинской организации в случае его письменного отказа от дальнейшего лечения, смерти пациента, выписки пациента до истечения 3 дней (включительно) со дня госпитализации (начала лечения), за исключе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нием случаев оказания медицинской помощи по группам заболеваний, состояний, приведенных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соглашению, в том числе в сочетании с оплатой за услугу диализа (в том числе в сочетании с оплатой по клинико-статистической гр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уппе заболеваний, группе высокотехнологичной медицинской помощи).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49. Распределение медицинских организаций по уровням оказания медицинской помощи произведено на основании приказа Министерства здравоохранения Российской Федерации от 10 февраля 2023 года №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44н "Об утверждении Требований к структуре и содержанию тарифного соглашения", подуровни выделены с учетом сложившихся расходов медицинских организаций на единицу затратоемкости в соответствии с Методическими рекомендациями.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Для структурных подразделений 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едицинских организаций 2-го уровня оказания медицинской помощи, осуществляющих оказание медицинской помощи по клинико-статистическим группам, относящихся к клинико-профильным группам "Детская онкология" и "Онкология", в случае коэффициента подуровня медици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нской организации в условиях дневного стационара менее 1, применяется коэффициент подуровня оказания медицинской помощи в размере 1.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50. Отнесение случаев лечения к конкретной КСГ на основании классификационных критериев, которые соответствуют данному случ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аю, осуществляется в соответствии с алгоритмом группировки, указанном в Методических рекомендациях, в соответствии с расшифровкой КСГ для медицинской помощи, оказанной в условиях дневного стационара.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еречень поправочных коэффициентов, применяемых к КСГ, представлен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51. Объем финансового обеспечения медицинской организации, оказавшей медицинскую помощь в условиях дневного стационара (ФОмо), определяет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ся как сумма стоимости всех случаев оказания медицинской помощи в условиях дневного стационара в отчетном периоде: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position w:val="-10"/>
          <w:sz w:val="24"/>
          <w:szCs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69720" cy="259080"/>
                <wp:effectExtent l="0" t="0" r="0" b="7620"/>
                <wp:docPr id="2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>
                          <a:extLs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56972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23.60pt;height:20.4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ССксг - стоимость одного случая лечения в условиях дневного стационара по КСГ, рублей.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52. Стоимость одного случая лечения в условиях дне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вного стационара по КСГ (ССксг) (за исключением КСГ, в составе которых установлены доли заработной платы и прочих расходов) определяется по формуле (значение округляется до двух знаков после запятой по правилам математики):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ССксг = БС x КД x КЗксг x КСксг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x КУСмо + БС x КД* x КСЛП, где: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БС - размер базовой ставки в условиях дневного стационара без учета коэффициента дифференциации, рублей;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КЗксг - коэффициент относительной затратоемкости КСГ, к которой отнесен данный случай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лечения;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КСксг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- коэффициент специфики КСГ, к которой отнесен данный случай госпитализации;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КУСмо - коэффициент подуровня оказания медицинской помощи в медицинской организации в условиях дневного стационара, установлен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Таблицей 18.2 Приложения № 18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 соглашению;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КСЛП - коэффициент сложности лечения пациента, установлен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Приложением № 19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КД - коэффициент дифференциации, рассчитанный в соответствии с Постановлением № 462, который для Омской области составляет 1,105;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*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КД не применяется для КСЛП "проведение сопроводительной лекарственной терапии при злокачественных новообразованиях у взрослых в соответствии с клиническими рекомендациями (уровень 1-3)" (равно единице).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случае, если в рамках одной госпитализации возмож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но применение нескольких КСЛП, итоговое значение КСЛП рассчитывается путем суммирования соответствующих КСЛП: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КСЛПсумм = КСЛП</w:t>
      </w:r>
      <w:r>
        <w:rPr>
          <w:rFonts w:ascii="Times New Roman" w:hAnsi="Times New Roman" w:cs="Times New Roman"/>
          <w:sz w:val="24"/>
          <w:szCs w:val="24"/>
          <w:highlight w:val="none"/>
          <w:vertAlign w:val="subscript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+ КСЛП</w:t>
      </w:r>
      <w:r>
        <w:rPr>
          <w:rFonts w:ascii="Times New Roman" w:hAnsi="Times New Roman" w:cs="Times New Roman"/>
          <w:sz w:val="24"/>
          <w:szCs w:val="24"/>
          <w:highlight w:val="none"/>
          <w:vertAlign w:val="subscript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+ КСЛП</w:t>
      </w:r>
      <w:r>
        <w:rPr>
          <w:rFonts w:ascii="Times New Roman" w:hAnsi="Times New Roman" w:cs="Times New Roman"/>
          <w:sz w:val="24"/>
          <w:szCs w:val="24"/>
          <w:highlight w:val="none"/>
          <w:vertAlign w:val="subscript"/>
        </w:rPr>
        <w:t xml:space="preserve">n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отсутствии оснований применения КСЛП, значение параметра КСЛП при расчете стоимости законченного случая лечения принимается равным 0.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Стоимость одного случая лечения по КСГ (ССксг) для случаев, в составе которых установлена доля заработной платы и проч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их расходов, определяется по формуле (значение округляется до двух знаков после запятой по правилам математики):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ССксг = БС x КЗксг x ((1 - Дзп) + Дзп x КСксг x КУСмо x КД) + БС x КД* x КСЛП, где: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Дзп - доля заработной платы и прочих расходов в структуре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стоимости КСГ (устанавливаемое на федеральном уровне значение, к которому применяется КД, КСксг и КУСмо)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* - КД не применяется для КСЛП "проведение сопроводительной лекарственной терапии при злокачественных новообразованиях у взр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ослых в соответствии с клиническими рекомендациями (уровень 1-3)" (равно единице).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53. Отнесение к КСГ случаев проведения ЭКО осуществляется на основании классификационных критериев, которые соответствуют данному случаю, в соответствии с Методическими реко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мендациями.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Дополнительно в процессе проведения процедуры ЭКО возможно осуществление криоконсервации полученных на третьем этапе эмбрионов, при этом хранение криоконсервированных эмбрионов за счет средств ОМС не осуществляется.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17" w:name="Par367"/>
      <w:r>
        <w:rPr>
          <w:highlight w:val="none"/>
        </w:rPr>
      </w:r>
      <w:bookmarkEnd w:id="17"/>
      <w:r>
        <w:rPr>
          <w:rFonts w:ascii="Times New Roman" w:hAnsi="Times New Roman" w:cs="Times New Roman"/>
          <w:sz w:val="24"/>
          <w:szCs w:val="24"/>
          <w:highlight w:val="none"/>
        </w:rPr>
        <w:t xml:space="preserve">54. К прерванным случаям ока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зания медицинской помощи относятся: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18" w:name="Par368"/>
      <w:r>
        <w:rPr>
          <w:highlight w:val="none"/>
        </w:rPr>
      </w:r>
      <w:bookmarkEnd w:id="18"/>
      <w:r>
        <w:rPr>
          <w:rFonts w:ascii="Times New Roman" w:hAnsi="Times New Roman" w:cs="Times New Roman"/>
          <w:sz w:val="24"/>
          <w:szCs w:val="24"/>
          <w:highlight w:val="none"/>
        </w:rPr>
        <w:t xml:space="preserve">1) случаи прерывания лечения по медицинским показаниям;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19" w:name="Par369"/>
      <w:r>
        <w:rPr>
          <w:highlight w:val="none"/>
        </w:rPr>
      </w:r>
      <w:bookmarkEnd w:id="19"/>
      <w:r>
        <w:rPr>
          <w:rFonts w:ascii="Times New Roman" w:hAnsi="Times New Roman" w:cs="Times New Roman"/>
          <w:sz w:val="24"/>
          <w:szCs w:val="24"/>
          <w:highlight w:val="none"/>
        </w:rPr>
        <w:t xml:space="preserve">2) случаи прерывания лечения при переводе пациента из одного отделения медицинской организации в другое;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3) случаи изменения условий оказания медицинской помощи (пе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ревод пациента из дневного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стационара в круглосуточный стационар);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20" w:name="Par371"/>
      <w:r>
        <w:rPr>
          <w:highlight w:val="none"/>
        </w:rPr>
      </w:r>
      <w:bookmarkEnd w:id="20"/>
      <w:r>
        <w:rPr>
          <w:rFonts w:ascii="Times New Roman" w:hAnsi="Times New Roman" w:cs="Times New Roman"/>
          <w:sz w:val="24"/>
          <w:szCs w:val="24"/>
          <w:highlight w:val="none"/>
        </w:rPr>
        <w:t xml:space="preserve">4) случаи перевода пациента в другую медицинскую организацию;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5) случаи прерывания лечения вследствие преждевременной выписки пациента из медицинской организации, обусловленной его письменн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ым отказом от дальнейшего лечения;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21" w:name="Par373"/>
      <w:r>
        <w:rPr>
          <w:highlight w:val="none"/>
        </w:rPr>
      </w:r>
      <w:bookmarkEnd w:id="21"/>
      <w:r>
        <w:rPr>
          <w:rFonts w:ascii="Times New Roman" w:hAnsi="Times New Roman" w:cs="Times New Roman"/>
          <w:sz w:val="24"/>
          <w:szCs w:val="24"/>
          <w:highlight w:val="none"/>
        </w:rPr>
        <w:t xml:space="preserve">6) случаи лечения, закончившиеся смертью пациента (летальным исходом);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22" w:name="Par374"/>
      <w:r>
        <w:rPr>
          <w:highlight w:val="none"/>
        </w:rPr>
      </w:r>
      <w:bookmarkEnd w:id="22"/>
      <w:r>
        <w:rPr>
          <w:rFonts w:ascii="Times New Roman" w:hAnsi="Times New Roman" w:cs="Times New Roman"/>
          <w:sz w:val="24"/>
          <w:szCs w:val="24"/>
          <w:highlight w:val="none"/>
        </w:rPr>
        <w:t xml:space="preserve">7) случаи оказания медицинской помощи с проведением лекарственной терапии при злокачественных новообразованиях, в ходе которой медицинская помощь по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нии симптоматического лечения;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23" w:name="Par375"/>
      <w:r>
        <w:rPr>
          <w:highlight w:val="none"/>
        </w:rPr>
      </w:r>
      <w:bookmarkEnd w:id="23"/>
      <w:r>
        <w:rPr>
          <w:rFonts w:ascii="Times New Roman" w:hAnsi="Times New Roman" w:cs="Times New Roman"/>
          <w:sz w:val="24"/>
          <w:szCs w:val="24"/>
          <w:highlight w:val="none"/>
        </w:rPr>
        <w:t xml:space="preserve">8) законченные случаи лечения (не являющиеся прерванными по основаниям, изложенным в подпунктах 1 - </w:t>
      </w:r>
      <w:hyperlink w:tooltip="7) случаи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" w:anchor="Par374" w:history="1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7</w:t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данного пункта) длительностью 3 дня и менее по КСГ, не включенным в перечень КСГ, для 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оторых оптимальным сроком лечения является период менее 3 дней включительно, установленным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9) случаи медицинской реабилитации по КСГ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ds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37.017,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ds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37.018,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ds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37.019,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а также случаи лечения хронического вирусного гепатита В и С по КСГ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ds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12.020 – 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ds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12.02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 длительностью лечения менее количества дней, определенных в "Группировщике".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случае, если перевод пациента 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 одного отделения медицинской организации в другое обусловлен возникновением (наличием) нового заболевания или состояния, относящегося к тому же классу МКБ-10, что и диагноз основного заболевания и (или) являющегося следствием закономерного прогрессирован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ия основного заболевания, внутрибольничной инфекции или осложнением основного заболевания, что не соответствует критериям оплаты случая лечения по двум КСГ, оплата производится в рамках одного случая лечения по КСГ с наибольшим размером оплаты, а отнесение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такого случая к прерванным по основанию, изложенному в подпункте 2 данного пункта, не производится.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оплате случаев лечения, подлежащих оплате по двум КСГ по основаниям, изложенным в подпунктах 2 - </w:t>
      </w:r>
      <w:hyperlink w:tooltip="3) оказание медицинской помощи, связанной с установкой, заменой порт-системы (катетера)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;" w:anchor="Par400" w:history="1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3 пункта 55</w:t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настоящег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 Тарифного соглашения, случай до перевода не может считаться прерванным по основаниям, изложенным в подпунктах 2 - </w:t>
      </w:r>
      <w:hyperlink w:tooltip="4) случаи перевода пациента в другую медицинскую организацию;" w:anchor="Par371" w:history="1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4</w:t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данного пункта.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Приложением № 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Тарифному соглашению определен перечень КСГ, для которых длительность 3 дня и менее является оптимальными сроками лечения. Законченный случай оказания медицинской помощи (случай, не относящийся к прерванным случаям лечения по основаниям, изложенным в подп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унктах 1 - </w:t>
      </w:r>
      <w:hyperlink w:tooltip="7) случаи 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" w:anchor="Par374" w:history="1">
        <w:r>
          <w:rPr>
            <w:rFonts w:ascii="Times New Roman" w:hAnsi="Times New Roman" w:cs="Times New Roman"/>
            <w:sz w:val="24"/>
            <w:szCs w:val="24"/>
            <w:highlight w:val="none"/>
          </w:rPr>
          <w:t xml:space="preserve">7</w:t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  <w:t xml:space="preserve"> данного пункта) по КСГ, перечисленным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соглашению, не может быть отнесен к прерванным случаям лечения по основанию, изложенному в подпункте 8 данного пункта, и оплачив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ается в полном объеме независимо от длительности лечения.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случаев оказания медицинской помощи, являющихся прерванными, за исключением основания, связанного с проведением лекарственной терапии при ЗНО не в полном объеме, определяется в зависимости 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выполнения хирургического вмешательства и (или) проведения тромболитической терапии, являющихся классификационным критерием отнесения данного случая лечения к конкретной КСГ.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случае, если пациенту было выполнено хирургическое вмешательство и (или) была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проведена тромболитическая терапия (перечень КСГ, которые предполагают хирургическое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вмешательство и (или) тромболитическую терапию, представлен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), случай оплачивается в размере: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а) при длительности лечения 3 дня и менее - 80% от стоимости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КСГ;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б) при длительности лечения более 3-х дней - 100% от стоимости КСГ;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если хирургическое вмешательство и (или) тромболитическая терапия не проводились, случай оплачивается в размере: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а) при длительности лечения 3 дня и менее - 40% от стоимости КСГ;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б) при длительности лечения более 3-х дней - 80% от стоимости КСГ;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Случаи проведения лекарственной терапии пациентам в возрасте 18 лет и старше, являющиеся прерванными по основанию, изложенному в подпункте 7 данного пункта, оплачиваются аналогично случаям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лечения, когда хирургическое вмешательство и (или) тромболитическая терапия не проводились.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trike/>
          <w:color w:val="ff0000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Порядок определения полноты выполнения схемы лекарственной терапии при злокачественных новообразованиях (кроме лимфоидной и кроветворной тканей) у пациентов в возра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сте 18 лет и старше, при лечении хронических вирусных гепатитов С и В с дельта агентом (</w:t>
      </w:r>
      <w:r>
        <w:rPr>
          <w:rFonts w:ascii="Times New Roman" w:hAnsi="Times New Roman" w:cs="Times New Roman"/>
          <w:sz w:val="24"/>
          <w:szCs w:val="24"/>
          <w:highlight w:val="none"/>
          <w:lang w:val="en-US"/>
        </w:rPr>
        <w:t xml:space="preserve">D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), при лечении с применением генно-инженерных биологических препаратов и селективных иммунодепрессантов установлен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подпункте 4.2.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пункта 4 раздела </w:t>
      </w:r>
      <w:r>
        <w:rPr>
          <w:rFonts w:ascii="Times New Roman" w:hAnsi="Times New Roman" w:cs="Times New Roman"/>
          <w:b/>
          <w:sz w:val="24"/>
          <w:szCs w:val="24"/>
          <w:highlight w:val="none"/>
          <w:lang w:val="en-US"/>
        </w:rPr>
        <w:t xml:space="preserve">I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 Методических рекомендаций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trike/>
          <w:color w:val="ff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trike/>
          <w:color w:val="ff0000"/>
          <w:sz w:val="24"/>
          <w:szCs w:val="24"/>
          <w:highlight w:val="none"/>
        </w:rPr>
      </w:r>
      <w:r>
        <w:rPr>
          <w:rFonts w:ascii="Times New Roman" w:hAnsi="Times New Roman" w:cs="Times New Roman"/>
          <w:strike/>
          <w:color w:val="ff0000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Рассчитанная стоимость прерванного случая лечения округляется по правилам математики до двух десятичных знаков после запятой.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55. Медицинская помощь, оказываемая пациентам одновременно по двум и более КСГ, осуществляется в след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ующих случаях: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1) перевод пациента из одного отделения медицинской организации в другое в рамках дневного стационара (в том числе в случае перевода из дневного стационара в круглосуточный стационар), если это обусловлено возникновением (наличием) нового за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болевания или состояния, входящего в другой класс МКБ-10 и не являющегося следствием закономерного прогрессирования основного заболевания, внутрибольничной инфекции или осложнением основного заболевания, а также при переводе пациента из одной медицинской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рганизации в другую, оба случая лечения заболевания подлежат оплате в рамках соответствующих КСГ, при этом случай лечения до осуществления перевода относится к прерванным по основаниям, установленным пунктом 54 настоящего Тарифного соглашения;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24" w:name="Par399"/>
      <w:r>
        <w:rPr>
          <w:highlight w:val="none"/>
        </w:rPr>
      </w:r>
      <w:bookmarkEnd w:id="24"/>
      <w:r>
        <w:rPr>
          <w:rFonts w:ascii="Times New Roman" w:hAnsi="Times New Roman" w:cs="Times New Roman"/>
          <w:sz w:val="24"/>
          <w:szCs w:val="24"/>
          <w:highlight w:val="none"/>
        </w:rPr>
        <w:t xml:space="preserve">2) проведени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 медицинской реабилитации пациента после завершения лечения в той же медицинской организации по поводу заболевания, по которому осуществлялось лечение;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highlight w:val="none"/>
        </w:rPr>
      </w:r>
      <w:bookmarkStart w:id="25" w:name="Par400"/>
      <w:r>
        <w:rPr>
          <w:highlight w:val="none"/>
        </w:rPr>
      </w:r>
      <w:bookmarkEnd w:id="25"/>
      <w:r>
        <w:rPr>
          <w:rFonts w:ascii="Times New Roman" w:hAnsi="Times New Roman" w:cs="Times New Roman"/>
          <w:sz w:val="24"/>
          <w:szCs w:val="24"/>
          <w:highlight w:val="none"/>
        </w:rPr>
        <w:t xml:space="preserve">3) оказание медицинской помощи, связанной с установкой, заменой порт-системы (катетера) для лекарственн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4) проведение иммунизации против респираторно-синцитиальной вирусной инфекции в период госпитализации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 поводу лечения нарушений, возникающих в перинатальном периоде, являющихся показанием к иммунизации;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56. В дневных стационарах всех типов первым днем считается день начала оказания медицинской помощи, последним - день окончания ее оказания.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 реестр на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оплату медицинской помощи включаются все дни лечения пациента в условиях дневного стационара, включая выходные дни от поступления пациента в дневной стационар до его выписки, в соответствии с режимом работы медицинских организаций.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2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2.4. Оплата скорой меди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цинской помощи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57. Перечень медицинских организаций, оказывающих скорую медицинскую помощь вне медицинской организации, установлен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Таблицей 2.4 Приложения № 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58. Оплата скорой медицинской помощи, оказанной вне медицинск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эвакуации), осуществляется: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 подушевому нормативу финансирования;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за единицу объема медицинской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помощи - за вызов скорой медицинской помощи (используется при оплате медицинской помощи, оказанной застрахованным лицам за пределами субъекта Российской Федерации, на территории которого выдан полис обязательного медицинского страхования, а также оказанно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й в отдельных медицинских организациях, не имеющих прикрепившихся лиц).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59. Обслуживаемым населением считаются граждане, застрахованные на территории Омской области.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медицинской помощи в медицинских организациях, финансируемых по подушевому норматив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 финансирования, осуществляется ежемесячно на основе среднемесячной численности застрахованного населения по данным регионального сегмента единого регистра застрахованных лиц за отчетный месяц.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60. Базовый (средний) подушевой норматив финансирования скоро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й медицинской помощи, оказываемой вне медицинской организации, включает расходы на оплату медицинской помощи в рамках базовой программы обязательного медицинского страхования, в том числе скорую (специализированную) медицинскую помощь, оказываемую в экстре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нной и неотложной формах в соответствии с установленной единицей объема медицинской помощи - вызов, за исключением: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вызовов скорой медицинской помощи (при оплате медицинской помощи, оказанной застрахованным лицам за пределами субъекта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Российской Федерации, на территории которого выдан полис обязательного медицинского страхования);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 на оплату вызовов скорой медицинской помощи с применением тромболитической терапии.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61. Объем финансовых средств, направляемых на оплату скорой медицинской помощи по дифференцированным подушевым нормативам, рассчитывается для каждой медицинской организации в соответствии с Методическими рекомендациями.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62. При расчете дифференцированных 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одушевых нормативов финансирования медицинских организаций, оказывающих скорую медицинскую помощь, применяются коэффициенты: коэффициент половозрастного состава (КДпв); коэффициент уровня расходов медицинских организаций (особенности плотности населения, 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ранспортной доступности, климатических и географических особенностей, размер медицинской организации) (КДур) (принят равным 1); коэффициент достижения целевых показателей уровня заработной платы медицинских работников, установленных "дорожными картами" раз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вития здравоохранения в субъекте Российской Федерации (КДзп); коэффициент дифференциации (КД), значения которых представлены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22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63. Оплата скорой медицинской помощи при проведении массовых мероприятий (спор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тивных, культурных и других), оплата дежурств бригад скорой медицинской помощи осуществляется за счет средств, предусмотренных на организацию указанных мероприятий.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64. Медицинские организации, оказывающие несколько видов медицинской помощи, не вправе пере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распределять средства ОМС, предназначенные для оказания скорой, в том числе скорой специализированной, медицинской помощи, и использовать их на предоставление других видов медицинской помощи.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3. Размер и структура тарифов на оплату медицинской помощи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65. Тарифы на оплату медицинской помощи формируются по видам, профилям медицинской помощи, по возрастным категориям пациентов, врачебным специальностям и с учетом способов оплаты медицинской помощи в пределах бюджетных ассигнований, предусмотренных Законом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Омской области от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22 декабря 2025 г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ода №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2915-ОЗ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"О бюджете территориального фонда обязательного медицинского страхования Омской области на 2026 год и на плановый период 2027 и 2028 годов", в части финансового обеспечения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ТП ОМС.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этом в возрастной стр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уктуре населения к категории "дети" относятся граждане со дня рождения до достижения ими возраста 18 лет, к категории "взрослые" - старше 18 лет, то есть в день достижения ими возраста 18 лет.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66. Тарифы на оплату медицинской помощи по ОМС рассчитываются 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соответствии с Методикой расчетов тарифов на оплату медицинской помощи по ОМС, содержащейся в Правилах обязательного медицинского страхования, утвержденных приказом Министерства здравоохранения Российской Федерации от 21 августа 2025 года № 496н, и в соот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ветствии с Методическими рекомендациями.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67. Тарифы на оплату отдельных медицинских услуг рассчитываются в соответствии с приказом Министерства здравоохранения Российской Федерации от 13 октября 2017 года № 804н "Об утверждении номенклатуры медицинских усл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уг".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68. В части медицинской помощи, оказываемой в амбулаторных условиях, установлены: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средний размер финансового обеспечения медицинской помощи, оказываемой в амбулаторных условиях, устанавливается в расчете на одно застрахованное лицо, определяется на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основе нормативов объема медицинской помощи и финансовых затрат на единицу объема медицинской помощи, установленных ТП ОМС, в размере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9 551,07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рубля в год;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базовый (средний) подушевой норматив для расчета дифференцированных подушевых нормативов финансиро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вания медицинской помощи с учетом показателей результативности деятельности медицинской организации (ПН баз) установлен в размере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90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,84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рубля в месяц;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тарифы на оплату единиц объема медицинской помощи (медицинская услуга, посещение/комплексное посещение,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обращение (законченный случ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ай)), мероприятий по диспансеризации определенных групп взрослого населения, в том числе углубленной диспансеризации и диспансеризации взрослого населения репродуктивного возраста по оценке репродуктивного здоровья, диспансеризации отдельных групп детского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населения, профилактические медицинские осмотры отдельных групп населения, в том числе проводимые с участием мобильной медицинской бригады, диспансерного наблюдения, медицинской помощи по профилю "медицинская реабилитация", медицинской помощи при оказании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пациентам с хроническими неинфекционными заболеваниями в части вед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ения школ, в том числе школ сахарного диабета и школ для беременных и по вопросам грудного вскармливания, телемедицинских консультаций, дистанционного наблюдения за состоянием здоровья пациентов с артериальной гипертензией и сахарным диабетом, установлены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Приложениями № 7 - 11, 13 – 15, 21, 26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коэффициенты, применяемые при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расчете дифференцированных подушевых нормативов финансирования медицинской помощи, представлены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         - стоимость 1 УЕТ установлена в размере: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192,34 рубля – при оплате медицинской помощи, оказанно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врачом – стоматологом;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96,17 рублей - при оплате медицинской помощи, оказанной 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убным врачом.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69. В части медицинской помощи, оказываемой в условиях круглосуточного стационара, установлены: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средний размер финансового об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еспечения медицинской помощи, оказываемой в условиях круглосуточного стационара, устанавливается в расчете на одно застрахованное лицо, определяется на основе нормативов объема медицинской помощи и финансовых затрат на единицу объема медицинской помощи, ус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тановленных ТП ОМС, в размере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10 946,15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рубля в год;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базовая ставка финансирования медицинской помощи, оказанной в условиях круглосуточного стационара по КСГ, в том числе для оплаты медицинской помощи, оказанной лицам, застрахованным за пределами Омской области, без учета коэффициента дифференциации устано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влена в размере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36 056,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рубля, с учетом коэффициента дифференциации установлена в размере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39 842,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рубля. Базовая ставка может пересматриваться ежеквартально с учетом фактического выполнения утвержденных объемов и стоимости стационарной помощи;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перече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нь групп заболеваний, в том числе КСГ с указанием коэффициентов относительной затратоемкости КСГ (КЗксг), коэффициентов специфики (КСксг),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перечень клинико-статистических групп (КСГ) в условиях круглосуточного стационара, в которых не предусмотрена возможность выбора между критерием диагноза и услуги при проведении оперативного лечения,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17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коэффициенты подуровня ока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зания медицинской помощи (КУСмо),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18.1 Приложения № 18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коэффициенты сложности лечения пациента (КСЛП)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19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перечень КСГ, которые предполагают хирургическое вмешательство или тромболитическую терапию,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ожению № 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перечень КСГ, по которым оплата медицинской помощи осуществляется в полном объеме при длительности госпитализации 3 дня и менее,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16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70. Тарифы на оплату ВМП представлены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24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71. В части медицинской помощи, оказываемой в условиях дневного стационара, установлены: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средний размер финансового обеспечения медицинской помощи, оказываемой в условиях дневного стационара, в расчете на одно застрахованное лицо определяется на осн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ове нормативов объемов медицинской помощи и финансовых затрат на единицу объема медицинской помощи, установленных ТП ОМС, в размере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2 524,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рубля в год;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базовая ставка финансирования медицинской помощи, оказанной в условиях дневного стационара по КСГ, в том числе для оплаты медицинской помощи, оказанной лицам, застрахованным за пределами Омской области, без уче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 коэффициента дифференциации установлена в размере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19 267,96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рубля, с учетом коэффициента дифференциации установлена в размере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21 291,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рубля. Базовая ставка может пересматриваться ежеквартально с учетом фактического выполнения утвержденных объемов и ст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оимости медицинской помощи в условиях дневного стационара;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групп заболеваний, в том числе КСГ с указанием коэффициентов относительной затратоемкости КСГ (КЗксг), коэффициентов специфики (КСксг),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коэф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фициенты подуровня оказания медицинской помощи (КУСмо),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Таблице 18.2 Приложения № 18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коэффициенты сложности лечения пациента (КСЛП)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19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перечень КСГ, которые предполагают хирургическое вмешательство или тромболитическую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терапию,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перечень КСГ, по которым оплата медицинской помощи осуществляется в полном объеме при длительности госпитализации 3 дня и менее,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20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72. В части скорой медицинской помощи, оказываемой вне медицинс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кой организации, установлены: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средний размер финансового обеспечения медицинской помощи, оказываемой в части скорой помощи вне медицинской организации, в расчете на одно застрахованное лицо определяется на основе нормативов объемов медицинской помощи и ф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инансовых затрат на единицу объема медицинской помощи, установленных ТП ОМС, в размере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1 434,03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рубля в год;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базовый (средний) подушевой норматив для расчета дифференцированных подушевых нормативов финансирования скорой медицинской помощи установлен в 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107,53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рубля в месяц;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коэффициенты, применяемые при расчете дифференцированных подушевых нормативов финансирования, представлены в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Приложении № 22.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73. Норматив финансовых затрат на оплату скорой медицинской помощи вне медицинской организации устан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овлен в размере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 635,94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убля.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Тариф на оплату медицинской помощи за вызов скорой медицинской помощи, в том числе лицам, застрахованным за пределами Омской области, установлен в размере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601,80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рубля. Тариф на оплату медицинской помощи за вызов скорой ме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дицинской помощи, в том числе лицам, застрахованным за пределами Омской области, с проведением процедуры медикаментозного тромболизиса установлен в размере 81 123,95 рубля.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74. Базовый тариф на оплату услуг гемодиализа составляет 6 298,34 рубля. Базовый та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риф на оплату услуг перитонеального диализа составляет 5 481,32 рубля.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75. Расходование средств ОМС медицинскими организациями производится в соответствии со структурой тарифа на оплату медицинской помощи в системе ОМС, установленной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Приложением № 23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76. Медицинские организации направляют средства, полученные за оказанную медицинскую помощь, на оплату расходов, связанных с предоставлением бесплатной медицинской помощи в системе ОМС, в соответствии с приказом Министерства ф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инансов Российской Федерации, утверждающим Указания о порядке применения бюджетной классификации Российской Федерации в соответствии с перечнем затрат, входящих в структуру тарифов на медицинскую помощь в системе ОМС Омской области, по следующим статьям 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подстатьям расходов классификации операций сектора государственного управления: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а) на заработную плату, начисления на оплату труда и прочие выплаты, в том числе выплаты стимулирующего характера, включая денежные выплаты: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врачам-терапевтам участковым, вра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чам-педиатрам участковым, врачам общей практики (семейным врачам), медицинским сестрам участковым врачей-терапевтов участковых, врачей-педиатров участковых и медицинским сестрам врачей общей практики (семейных врачей) за оказанную медицинскую помощь в амбу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латорных условиях;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медицинским работникам фельдшерско-акушерских пунктов (заведующим фельдшерско-акушерскими пунктами, фельдшерам, акушерам (акушеркам), медицинским сестрам, в том числе медицинским сестрам патронажным) за оказанную медицинскую помощь в 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мбулаторных условиях;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врачам,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врачам-специалистам за оказанную медицинскую помощь в амбулаторных условиях;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б) на приобретение лекарственных средств и расходных материалов, медицинского инструментария, реактивов и химикатов (далее - медикаменты, перевязочные средства и медицинский инс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трументарий);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в) на приобретение мягкого инвентаря;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г) на приобретение продуктов питания. Расходы на приобретение продуктов питания могут осуществляться в условиях круглосуточного стационара пациентам всех возрастов. Расходы на осуществление бесплатной выд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ачи работникам, занятым на работах с вредными условиями труда, молока или других равноценных пищевых продуктов учитываются по данной статье расходов;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д) на приобретение прочих материальных запасов, расходы по оплате стоимости лабораторных и инструментальны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х исследований, проводимых в других медицинских организациях (при отсутствии в медицинской организации лаборатории и диагностического оборудования), расходы по оплате организации питания (при отсутствии организованного питания в медицинской организации);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) на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оплату услуг связи, транспортных услуг, включая расходы на использование беспилотных авиационных систем (транспортных средств) для транспортировки биоматериалов, лекарственных препаратов и иных медицинских грузов, коммунальных услуг, работ и услуг по содер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жанию имущества, включая расходы на техническое обслуживание и ремонт основных средств, расходы на арендную плату, в том числе за пользование имуществом, финансовую аренду объектов (лизинг), а также выкуп предмета лизинга, оплату программного обеспечения 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прочих услуг, социальное обеспечение работников медицинских организаций, установленное законодательством Российской Федерации, прочие расходы;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ж) приобретение основных средств (оборудование, производственный и хозяйственный инвентарь) стоимостью до четырехсот тысяч рублей за единицу, а также допускается приобретение основных средств (медицинских изделий, используемы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х для проведения медицинских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вмешательств, лабораторных и инструментальных исследований) стоимостью до одного миллиона рублей при отсутствии у медицинской организации не погашенной в течение трех месяцев кредиторской задолженности за счет средств ОМС;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з) 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оциальное обеспечение работников медицинских организаций, установленное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4. Размер неоплаты или неполной оплаты затрат на оказание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медицинской помощи, а также уплаты медицинской организацией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штрафов за неоказание, не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своевременное оказание либо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оказание медицинской помощи ненадлежащего качества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77. За нарушения, выявленные при проведении контроля объемов и качества и условий предоставления медицинской помощи по обязательному медицинскому страхованию, медицинские орган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изации несут ответственность в соответствии с законодательством Российской Федерации, условиями договора на оказание и оплату медицинской помощи по обязательному медицинскому страхованию.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78. Перечень оснований и значения коэффициентов для определения разм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ера неоплаты или неполной оплаты затрат медицинской организации на оказание медицинской помощи, а также для определения размера штрафа за неоказание, несвоевременное оказание либо оказание медицинской помощи ненадлежащего качества, согласно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Приложению № 28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к настоящему 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Расчет штрафа за неоказание, несвоевременное оказание либо оказание медицинской помощи ненадлежащего качества осуществляется в соответствии с </w:t>
      </w:r>
      <w:r>
        <w:rPr>
          <w:rFonts w:ascii="Times New Roman" w:hAnsi="Times New Roman" w:cs="Times New Roman"/>
          <w:b/>
          <w:sz w:val="24"/>
          <w:szCs w:val="24"/>
          <w:highlight w:val="none"/>
        </w:rPr>
        <w:t xml:space="preserve">пунктом 211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Правил обязательного медицинского страхования, утвержденных приказ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ом Министерства здравоохранения Российской Федерации от 21 августа 2025 года № 496н.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Для расчета штрафа применяются подушевые нормативы, установленные на год, в зависимости от условий оказания медицинской помощи: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1) при оказании медицинской помощи в амбулаторных условиях - подушевой норматив финансирования медицинской помощи, установленный Территориальной программой в размере      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9 639,13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рублей;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2) при оказании скорой медицинской помощи вне медицинской организа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ции - подушевой норматив финансирования медицинской помощи, установленный Территориальной программой в размере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1 470,98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рубля;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3) при оказании медицинской помощи в условиях стационара - подушевой норматив финансирования медицинской помощи, установленный Те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рриториальной программой в размере     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11 251,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3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рубля;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4) при оказании медицинской помощи в условиях дневного стационара - подушевой норматив финансирования медицинской помощи, установленный Территориальной программой в размере     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9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5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0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рубля.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91"/>
        <w:jc w:val="center"/>
        <w:rPr>
          <w:rFonts w:ascii="Times New Roman" w:hAnsi="Times New Roman" w:cs="Times New Roman"/>
          <w:sz w:val="24"/>
          <w:szCs w:val="24"/>
          <w:highlight w:val="none"/>
        </w:rPr>
        <w:outlineLvl w:val="1"/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5.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Заключительные положения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79. Тарифное соглашение вступает в силу с 1 января 2026 года и действует по 31 декабря 2026 года.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80. Все приложения Тарифного соглашения являются его неотъемлемой частью.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81. В настоящее Тарифное соглашение могут быть внесены изменения и дополнения в следующих случаях: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а) при внесении изменений в реестр медицинских организаций, осуществляющих деятельность в сфере обязательного медицинского страхования на территории Омской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бласти, в части включения (исключения) медицинских организаций;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б) при внесении изменений в распределение объемов предоставления медицинской помощи между медицинскими организациями;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в) при определении новых заболеваний, состояний (групп заболеваний, состоя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ний), при которых осуществляется оказание медицинской помощи застрахованным лицам в рамках обязательного медицинского страхования;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г) при внесении изменений в приказ Министерства здравоохранения Российской Федерации от 10 февраля 2023 года № 44н "Об утверж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дении Требований к структуре и содержанию тарифного соглашения", приводящих к изменению структуры и содержания тарифного соглашения;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д) при внесении изменений в порядок контроля объемов, сроков, качества и условий предоставления медицинской помощи в части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изменения перечня оснований для отказа в оплате медицинской помощи либо уменьшению оплаты медицинской помощи;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е) при принятии Президентом Российской Федерации, Правительством Российской Федерации, высшим исполнительным органом государственной власти Омской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области решений, приводящих к необходимости внесения изменений в Тарифное соглашение, в том числе изменении тарифов на оплату медицинской помощи.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82. Внесение изменений в Тарифное соглашение осуществляется путем заключения дополнительного соглашения к Тар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ифному соглашению, которое является его неотъемлемой частью.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83. Оплата медицинской помощи, оказанной в условиях стационаров (с учетом дневных стационаров всех типов), осуществляется в соответствии с Тарифным соглашением, действующим на дату выписки пациен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та. Возраст пациента для определения тарифа принимается по состоянию на дату начала лечения.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Оплата оказанной медицинской помощи в амбулаторных условиях осуществляется по тарифам, действующим на дату окончания случая. Возраст пациента для определения тариф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принимается по состоянию на дату начала страхового случая.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формировании реестров на оплату медицинской помощи медицинские организации руководствуются приказом Федерального фонда ОМС от 7 апреля 2011 года № 79 "Об утверждении Общих принципов построени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 и функционирования информационных систем и порядка информационного взаимодействия в сфере обязательного медицинского страхования".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формировании реестров счетов на оплату медицинской помощи, оказанной застрахованному лицу, в части заполнения сведений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 медицинской помощи, оплачиваемой по подушевому нормативу финансирования, медицинская организация в поле реестра sumV указывает "0". В поле TARIF в блоке "Сведения о законченном случае" указывается тариф или стоимость законченного случая лечения согласно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Тарифному соглашению.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84. Оплата медицинской помощи, оказанной медицинскими организациями, осуществляется в пределах утвержденных объемов медицинской помощи и финансирования в установленном законодательством порядке.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Ежемесячный объем финансирования медици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нской организации по видам и условиям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оказания медицинской помощи в соответствии с реестрами счетов за оказанную медицинскую помощь (в том числе исправленных реестров счетов за оказанную медицинскую помощь в предыдущем периоде), предъявленных к оплате в ТФ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ОМС Омской области, не может превышать значение, рассчитываемое по формуле: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position w:val="-23"/>
          <w:sz w:val="24"/>
          <w:szCs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60220" cy="419100"/>
                <wp:effectExtent l="0" t="0" r="0" b="0"/>
                <wp:docPr id="3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76022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38.60pt;height:33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ГО</w:t>
      </w:r>
      <w:r>
        <w:rPr>
          <w:rFonts w:ascii="Times New Roman" w:hAnsi="Times New Roman" w:cs="Times New Roman"/>
          <w:sz w:val="24"/>
          <w:szCs w:val="24"/>
          <w:highlight w:val="none"/>
          <w:vertAlign w:val="subscript"/>
        </w:rPr>
        <w:t xml:space="preserve">ф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- годовой объем финансирования, утвержденный планом-заданием медицинской организации;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ФО</w:t>
      </w:r>
      <w:r>
        <w:rPr>
          <w:rFonts w:ascii="Times New Roman" w:hAnsi="Times New Roman" w:cs="Times New Roman"/>
          <w:sz w:val="24"/>
          <w:szCs w:val="24"/>
          <w:highlight w:val="none"/>
          <w:vertAlign w:val="subscript"/>
        </w:rPr>
        <w:t xml:space="preserve">ф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- объем финансирования медицинской организации, принятый к оплате с начала года (б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ез учета межучрежденческих расчетов);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 - количество месяцев с начала года до отчетного периода (включительно).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Данная формула применяется к расчету ежемесячного объема финансирования медицинской помощи по всем видам и условиям ее оказания, за исключением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случаев оказания ВМП, профилактических медицинских осмотров и диспансеризации, в том числе углубленной диспансеризации и диспансеризации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взрослого населения репродуктивного возраста по оценке репродуктивного здоровья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диспансерного наблюдения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посещений центров здоровья,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ЭКО и вызовов с применением процедуры тр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омболизиса. Общий объем финансирования на проведение профилактических медицинских осмотров и диспансеризации, в том числе углубленной диспансеризации и диспансеризации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взрослого населения репродуктивного возраста по оценке репродуктивного здоровья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диспансерного наблюдения,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посещений центров здоровья,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ЭКО и выз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овов с применением процедуры тромболизиса, а также случаев оказания ВМП в соответствии с реестрами счетов за оказанную медицинскую помощь, предъявленных к оплате в ТФОМС Омской области, не может превышать годовой объем финансирования, утвержденный планом-з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аданием медицинской организации.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Ежемесячный объем оказанной медицинской помощи по видам и условиям оказания медицинской помощи в соответствии с реестрами счетов за оказанную медицинскую помощь (в том числе исправленных реестров счетов за оказанную медицин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скую помощь в предыдущем периоде), предъявленных к оплате в ТФОМС Омской области, не может превышать значение, рассчитываемое по формуле: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position w:val="-20"/>
          <w:sz w:val="24"/>
          <w:szCs w:val="24"/>
          <w:highlight w:val="non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981200" cy="388620"/>
                <wp:effectExtent l="0" t="0" r="0" b="0"/>
                <wp:docPr id="4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>
                          <a:extLst>
                            <a:ext uri="{96DAC541-7B7A-43D3-8B79-37D633B846F1}">
                              <asvg:svgBlip xmlns:asvg="http://schemas.microsoft.com/office/drawing/2016/SVG/main" r:embed="rId16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981200" cy="388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56.00pt;height:30.6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ГО</w:t>
      </w:r>
      <w:r>
        <w:rPr>
          <w:rFonts w:ascii="Times New Roman" w:hAnsi="Times New Roman" w:cs="Times New Roman"/>
          <w:sz w:val="24"/>
          <w:szCs w:val="24"/>
          <w:highlight w:val="none"/>
          <w:vertAlign w:val="subscript"/>
        </w:rPr>
        <w:t xml:space="preserve">мп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- годовой объем медицинской помощи, утвержденный планом-заданием медицинской организации;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ФО</w:t>
      </w:r>
      <w:r>
        <w:rPr>
          <w:rFonts w:ascii="Times New Roman" w:hAnsi="Times New Roman" w:cs="Times New Roman"/>
          <w:sz w:val="24"/>
          <w:szCs w:val="24"/>
          <w:highlight w:val="none"/>
          <w:vertAlign w:val="subscript"/>
        </w:rPr>
        <w:t xml:space="preserve">мп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- фактически выполненный медицинской организацией объем медицинской помощи, принятый к оплате с начала года (без учета межучрежденческих расчетов);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 - количество месяцев с начала года до отчетного периода (включительно).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Расчетный показатель ежемесячного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объема оказанной медицинской помощи по видам и условиям оказания, подлежащего оплате, округляется по правилам математики до целого числа.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Данная формула применяется к расчету ежемесячного объема медицинской помощи по всем видам и условиям ее оказания, за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исключением за исключением случаев оказания ВМП, профилактических медицинских осмотров и диспансеризации, в том числе углубленной диспансеризации и диспансеризации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взрослого населения репродуктивного возраста по оценке репродуктивного здоровья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диспансерного наблюдения,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посещений центров здоровья,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ЭКО и вызовов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 применением процедуры тромболизиса. Общий объем выполненных случаев ВМП, профилактических медицинских осмотров и диспансеризации, в том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числе углубленной диспансеризации и диспансеризации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взрослого населения репродуктивного возраста по оценке репродуктивного здоровья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диспансерног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 наблюдения,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посещений центров здоровья,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ЭКО, вызовов с применением процедуры тромболизиса, подлежащих оплате, не может превышать годовой объем медицинской помощи, утвержденный планом-заданием медицинской организации.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Отклоненные от оплаты по причине превышения объемов предоставлени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 и (или) финансового обеспечения медицинской помощи, установленных решением Комиссии, реестры счетов за оказанную медицинскую помощь в предыдущем периоде повторно представляются в ТФОМС Омской области при установлении решением Комиссии объемов медицинской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помощи и финансового обеспечения медицинской помощи по видам и условиям оказания и принимаются к оплате с учетом результатов медико-экономического контроля в рамках установленных по указанным реестрам счетов объемов медицинской помощи и финансового обеспе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чения медицинской помощи по видам и условиям оказания.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 принятии решения об установлении объемов медицинской помощи и финансового обеспечения медицинской помощи по видам и условиям оказания с целью повторного представления медицинской организацией в ТФО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МС Омской области реестров счетов, отклоненных от оплаты по причине превышения объемов, установленных решением Комиссии, Комиссия руководствуется предложениями МО, поданными в Комиссию по установленной форме, с учетом фактически выполненных объемов и финан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сирования медицинской помощи по видам и условиям оказания.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Решением Комиссии положения данного пункта могут не распространяться на медицинские организации, в отношении которых осуществляется реорганизация юридического лица (слияние, присоединение, разделен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ие, выделение, преобразование).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39"/>
        <w:jc w:val="both"/>
        <w:spacing w:before="200"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Ежемесячный объем финансирования медицинской организации, в части отдельных диагностических (лабораторных) исследований – компьютерной томографии, магнитно-резонансной томографии, эндоскопических диагностических исследований</w:t>
      </w:r>
      <w:r>
        <w:rPr>
          <w:rFonts w:ascii="Times New Roman" w:hAnsi="Times New Roman"/>
          <w:sz w:val="24"/>
          <w:szCs w:val="24"/>
          <w:highlight w:val="none"/>
        </w:rPr>
        <w:t xml:space="preserve"> ( </w:t>
      </w:r>
      <m:oMath>
        <m:sSubSup>
          <m:sSubSupPr>
            <m:alnScr m:val="off"/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ОФ</m:t>
            </m:r>
          </m:e>
          <m:sub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ф</m:t>
            </m:r>
          </m:sub>
          <m:sup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и</m:t>
            </m:r>
          </m:sup>
        </m:sSubSup>
      </m:oMath>
      <w:r>
        <w:rPr>
          <w:rFonts w:ascii="Times New Roman" w:hAnsi="Times New Roman"/>
          <w:sz w:val="24"/>
          <w:szCs w:val="24"/>
          <w:highlight w:val="none"/>
        </w:rPr>
        <w:t xml:space="preserve"> ), в соответствии с реестрами счетов за оказанную медицинскую помощь (в том числе исправленных реестров счетов за оказанную медицинскую помощь в предыдущем периоде), предъявленных к оплате в ТФОМС Омской области, не может превышать значение, рассчи</w:t>
      </w:r>
      <w:r>
        <w:rPr>
          <w:rFonts w:ascii="Times New Roman" w:hAnsi="Times New Roman"/>
          <w:sz w:val="24"/>
          <w:szCs w:val="24"/>
          <w:highlight w:val="none"/>
        </w:rPr>
        <w:t xml:space="preserve">тываемое по формуле: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highlight w:val="none"/>
        </w:rPr>
      </w:r>
      <m:oMath>
        <m:sSubSup>
          <m:sSubSupPr>
            <m:alnScr m:val="off"/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ОФ</m:t>
            </m:r>
          </m:e>
          <m:sub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м</m:t>
            </m:r>
          </m:sub>
          <m:sup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и</m:t>
            </m:r>
          </m:sup>
        </m:sSubSup>
        <m:r>
          <w:rPr>
            <w:rFonts w:ascii="Cambria Math" w:hAnsi="Cambria Math"/>
            <w:sz w:val="24"/>
            <w:szCs w:val="24"/>
            <w:highlight w:val="none"/>
          </w:rPr>
          <m:rPr/>
          <m:t>=</m:t>
        </m:r>
        <m:f>
          <m:fPr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</w:rPr>
            </m:ctrlPr>
          </m:fPr>
          <m:num>
            <m:sSubSup>
              <m:sSubSupPr>
                <m:alnScr m:val="off"/>
                <m:ctrlPr>
                  <w:rPr>
                    <w:rFonts w:ascii="Cambria Math" w:hAnsi="Cambria Math" w:eastAsia="Cambria Math" w:cs="Cambria Math"/>
                    <w:i/>
                    <w:sz w:val="24"/>
                    <w:szCs w:val="24"/>
                    <w:highlight w:val="none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highlight w:val="none"/>
                  </w:rPr>
                  <m:rPr/>
                  <m:t>ГО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highlight w:val="none"/>
                  </w:rPr>
                  <m:rPr/>
                  <m:t>ф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  <w:highlight w:val="none"/>
                  </w:rPr>
                  <m:rPr/>
                  <m:t>и</m:t>
                </m:r>
              </m:sup>
            </m:sSubSup>
          </m:num>
          <m:den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12</m:t>
            </m:r>
          </m:den>
        </m:f>
        <m:r>
          <w:rPr>
            <w:rFonts w:ascii="Cambria Math" w:hAnsi="Cambria Math"/>
            <w:sz w:val="24"/>
            <w:szCs w:val="24"/>
            <w:highlight w:val="none"/>
          </w:rPr>
          <m:rPr/>
          <m:t>×</m:t>
        </m:r>
        <m:d>
          <m:dPr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М+1</m:t>
            </m:r>
          </m:e>
        </m:d>
        <m:r>
          <w:rPr>
            <w:rFonts w:ascii="Cambria Math" w:hAnsi="Cambria Math"/>
            <w:sz w:val="24"/>
            <w:szCs w:val="24"/>
            <w:highlight w:val="none"/>
          </w:rPr>
          <m:rPr/>
          <m:t>-</m:t>
        </m:r>
        <m:sSubSup>
          <m:sSubSupPr>
            <m:alnScr m:val="off"/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ФО</m:t>
            </m:r>
          </m:e>
          <m:sub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ф</m:t>
            </m:r>
          </m:sub>
          <m:sup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и</m:t>
            </m:r>
          </m:sup>
        </m:sSubSup>
      </m:oMath>
      <w:r>
        <w:rPr>
          <w:rFonts w:ascii="Times New Roman" w:hAnsi="Times New Roman"/>
          <w:sz w:val="24"/>
          <w:szCs w:val="24"/>
          <w:highlight w:val="none"/>
        </w:rPr>
        <w:t xml:space="preserve">, где: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highlight w:val="none"/>
        </w:rPr>
      </w:r>
      <m:oMath>
        <m:sSubSup>
          <m:sSubSupPr>
            <m:alnScr m:val="off"/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ГО</m:t>
            </m:r>
          </m:e>
          <m:sub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ф</m:t>
            </m:r>
          </m:sub>
          <m:sup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и</m:t>
            </m:r>
          </m:sup>
        </m:sSubSup>
      </m:oMath>
      <w:r>
        <w:rPr>
          <w:rFonts w:ascii="Times New Roman" w:hAnsi="Times New Roman"/>
          <w:sz w:val="24"/>
          <w:szCs w:val="24"/>
          <w:highlight w:val="none"/>
        </w:rPr>
        <w:t xml:space="preserve"> - годовой объем финансирования отдельных диагностических (лабораторных) исследований – компьютерной томографии, магнитно-резонансной томографии, эндоскопических диагностических исследований, утвержденны</w:t>
      </w:r>
      <w:r>
        <w:rPr>
          <w:rFonts w:ascii="Times New Roman" w:hAnsi="Times New Roman"/>
          <w:sz w:val="24"/>
          <w:szCs w:val="24"/>
          <w:highlight w:val="none"/>
        </w:rPr>
        <w:t xml:space="preserve">й планом-заданием медицинской организации;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540"/>
        <w:jc w:val="both"/>
        <w:spacing w:before="200"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highlight w:val="none"/>
        </w:rPr>
      </w:r>
      <m:oMath>
        <m:sSubSup>
          <m:sSubSupPr>
            <m:alnScr m:val="off"/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ФО</m:t>
            </m:r>
          </m:e>
          <m:sub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ф</m:t>
            </m:r>
          </m:sub>
          <m:sup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и</m:t>
            </m:r>
          </m:sup>
        </m:sSubSup>
      </m:oMath>
      <w:r>
        <w:rPr>
          <w:rFonts w:ascii="Times New Roman" w:hAnsi="Times New Roman"/>
          <w:sz w:val="24"/>
          <w:szCs w:val="24"/>
          <w:highlight w:val="none"/>
        </w:rPr>
        <w:t xml:space="preserve">- объем финансирования медицинской организации, принятый к оплате с начала года (без учета межучрежденческих расчетов), в части отдельных диагностических (лабораторных) исследований – компьютерной томографии, </w:t>
      </w:r>
      <w:r>
        <w:rPr>
          <w:rFonts w:ascii="Times New Roman" w:hAnsi="Times New Roman"/>
          <w:sz w:val="24"/>
          <w:szCs w:val="24"/>
          <w:highlight w:val="none"/>
        </w:rPr>
        <w:t xml:space="preserve">магнитно-резонансной томографии, эндоскопических диагностических исследований;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540"/>
        <w:jc w:val="both"/>
        <w:spacing w:before="200"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М - количество месяцев с начала года до отчетного периода (включительно), при этом М не может превышать 11.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540"/>
        <w:jc w:val="both"/>
        <w:spacing w:before="200" w:after="0" w:line="240" w:lineRule="auto"/>
        <w:widowControl w:val="off"/>
        <w:rPr>
          <w:rFonts w:ascii="Times New Roman" w:hAnsi="Times New Roman" w:eastAsia="Times New Roman"/>
          <w:sz w:val="24"/>
          <w:szCs w:val="24"/>
          <w:highlight w:val="none"/>
        </w:rPr>
      </w:pPr>
      <w:r>
        <w:rPr>
          <w:rFonts w:ascii="Times New Roman" w:hAnsi="Times New Roman" w:eastAsia="Times New Roman"/>
          <w:sz w:val="24"/>
          <w:szCs w:val="24"/>
          <w:highlight w:val="none"/>
        </w:rPr>
        <w:t xml:space="preserve">Ежемесячный объем оказанной медицинской помощи,</w:t>
      </w:r>
      <w:r>
        <w:rPr>
          <w:rFonts w:ascii="Times New Roman" w:hAnsi="Times New Roman"/>
          <w:sz w:val="24"/>
          <w:szCs w:val="24"/>
          <w:highlight w:val="none"/>
        </w:rPr>
        <w:t xml:space="preserve"> в части отдельных диа</w:t>
      </w:r>
      <w:r>
        <w:rPr>
          <w:rFonts w:ascii="Times New Roman" w:hAnsi="Times New Roman"/>
          <w:sz w:val="24"/>
          <w:szCs w:val="24"/>
          <w:highlight w:val="none"/>
        </w:rPr>
        <w:t xml:space="preserve">гностических (лабораторных) исследований – компьютерной томографии, магнитно-резонансной томографии, эндоскопических диагностических исследований,</w:t>
      </w:r>
      <w:r>
        <w:rPr>
          <w:rFonts w:ascii="Times New Roman" w:hAnsi="Times New Roman" w:eastAsia="Times New Roman"/>
          <w:sz w:val="24"/>
          <w:szCs w:val="24"/>
          <w:highlight w:val="none"/>
        </w:rPr>
        <w:t xml:space="preserve"> в соответствии с реестрами счетов за оказанную медицинскую помощь (в том числе исправленных реестров счетов з</w:t>
      </w:r>
      <w:r>
        <w:rPr>
          <w:rFonts w:ascii="Times New Roman" w:hAnsi="Times New Roman" w:eastAsia="Times New Roman"/>
          <w:sz w:val="24"/>
          <w:szCs w:val="24"/>
          <w:highlight w:val="none"/>
        </w:rPr>
        <w:t xml:space="preserve">а оказанную медицинскую помощь в предыдущем периоде), предъявленных к оплате в ТФОМС Омской области, не может превышать значение, рассчитываемое по формуле:</w:t>
      </w:r>
      <w:r>
        <w:rPr>
          <w:rFonts w:ascii="Times New Roman" w:hAnsi="Times New Roman" w:eastAsia="Times New Roman"/>
          <w:sz w:val="24"/>
          <w:szCs w:val="24"/>
          <w:highlight w:val="none"/>
        </w:rPr>
      </w:r>
      <w:r>
        <w:rPr>
          <w:rFonts w:ascii="Times New Roman" w:hAnsi="Times New Roman" w:eastAsia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highlight w:val="none"/>
        </w:rPr>
      </w:r>
      <m:oMath>
        <m:sSubSup>
          <m:sSubSupPr>
            <m:alnScr m:val="off"/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ОМП</m:t>
            </m:r>
          </m:e>
          <m:sub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м</m:t>
            </m:r>
          </m:sub>
          <m:sup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и</m:t>
            </m:r>
          </m:sup>
        </m:sSubSup>
        <m:r>
          <w:rPr>
            <w:rFonts w:ascii="Cambria Math" w:hAnsi="Cambria Math"/>
            <w:sz w:val="24"/>
            <w:szCs w:val="24"/>
            <w:highlight w:val="none"/>
          </w:rPr>
          <m:rPr/>
          <m:t>=</m:t>
        </m:r>
        <m:f>
          <m:fPr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</w:rPr>
            </m:ctrlPr>
          </m:fPr>
          <m:num>
            <m:sSubSup>
              <m:sSubSupPr>
                <m:alnScr m:val="off"/>
                <m:ctrlPr>
                  <w:rPr>
                    <w:rFonts w:ascii="Cambria Math" w:hAnsi="Cambria Math" w:eastAsia="Cambria Math" w:cs="Cambria Math"/>
                    <w:i/>
                    <w:sz w:val="24"/>
                    <w:szCs w:val="24"/>
                    <w:highlight w:val="none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  <w:highlight w:val="none"/>
                  </w:rPr>
                  <m:rPr/>
                  <m:t>ГО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highlight w:val="none"/>
                  </w:rPr>
                  <m:rPr/>
                  <m:t>мп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  <w:highlight w:val="none"/>
                  </w:rPr>
                  <m:rPr/>
                  <m:t>и</m:t>
                </m:r>
              </m:sup>
            </m:sSubSup>
          </m:num>
          <m:den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12</m:t>
            </m:r>
          </m:den>
        </m:f>
        <m:r>
          <w:rPr>
            <w:rFonts w:ascii="Cambria Math" w:hAnsi="Cambria Math"/>
            <w:sz w:val="24"/>
            <w:szCs w:val="24"/>
            <w:highlight w:val="none"/>
          </w:rPr>
          <m:rPr/>
          <m:t>×</m:t>
        </m:r>
        <m:d>
          <m:dPr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М+1</m:t>
            </m:r>
          </m:e>
        </m:d>
        <m:r>
          <w:rPr>
            <w:rFonts w:ascii="Cambria Math" w:hAnsi="Cambria Math"/>
            <w:sz w:val="24"/>
            <w:szCs w:val="24"/>
            <w:highlight w:val="none"/>
          </w:rPr>
          <m:rPr/>
          <m:t>-</m:t>
        </m:r>
        <m:sSubSup>
          <m:sSubSupPr>
            <m:alnScr m:val="off"/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ФО</m:t>
            </m:r>
          </m:e>
          <m:sub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мп</m:t>
            </m:r>
          </m:sub>
          <m:sup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и</m:t>
            </m:r>
          </m:sup>
        </m:sSubSup>
      </m:oMath>
      <w:r>
        <w:rPr>
          <w:rFonts w:ascii="Times New Roman" w:hAnsi="Times New Roman"/>
          <w:sz w:val="24"/>
          <w:szCs w:val="24"/>
          <w:highlight w:val="none"/>
        </w:rPr>
        <w:t xml:space="preserve">, где: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540"/>
        <w:jc w:val="both"/>
        <w:spacing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highlight w:val="none"/>
        </w:rPr>
      </w:r>
      <m:oMath>
        <m:sSubSup>
          <m:sSubSupPr>
            <m:alnScr m:val="off"/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ГО</m:t>
            </m:r>
          </m:e>
          <m:sub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мп</m:t>
            </m:r>
          </m:sub>
          <m:sup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и</m:t>
            </m:r>
          </m:sup>
        </m:sSubSup>
      </m:oMath>
      <w:r>
        <w:rPr>
          <w:rFonts w:ascii="Times New Roman" w:hAnsi="Times New Roman"/>
          <w:sz w:val="24"/>
          <w:szCs w:val="24"/>
          <w:highlight w:val="none"/>
        </w:rPr>
        <w:t xml:space="preserve"> - годовой объем медицинской помощи отдельных диагностических (лабораторных) исследований – компьютерной томографии, магнитно-резонансной томографии, эндоскопических диагностических исследований, утвержденный планом-заданием медицинской организации;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540"/>
        <w:jc w:val="both"/>
        <w:spacing w:before="200" w:after="0" w:line="240" w:lineRule="auto"/>
        <w:widowControl w:val="off"/>
        <w:rPr>
          <w:rFonts w:ascii="Times New Roman" w:hAnsi="Times New Roman"/>
          <w:sz w:val="24"/>
          <w:szCs w:val="24"/>
          <w:highlight w:val="none"/>
        </w:rPr>
      </w:pPr>
      <w:r>
        <w:rPr>
          <w:highlight w:val="none"/>
        </w:rPr>
      </w:r>
      <m:oMath>
        <m:sSubSup>
          <m:sSubSupPr>
            <m:alnScr m:val="off"/>
            <m:ctrlPr>
              <w:rPr>
                <w:rFonts w:ascii="Cambria Math" w:hAnsi="Cambria Math" w:eastAsia="Cambria Math" w:cs="Cambria Math"/>
                <w:i/>
                <w:sz w:val="24"/>
                <w:szCs w:val="24"/>
                <w:highlight w:val="none"/>
                <w:lang w:val="en-US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ФО</m:t>
            </m:r>
          </m:e>
          <m:sub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мп</m:t>
            </m:r>
          </m:sub>
          <m:sup>
            <m:r>
              <w:rPr>
                <w:rFonts w:ascii="Cambria Math" w:hAnsi="Cambria Math"/>
                <w:sz w:val="24"/>
                <w:szCs w:val="24"/>
                <w:highlight w:val="none"/>
              </w:rPr>
              <m:rPr/>
              <m:t>и</m:t>
            </m:r>
          </m:sup>
        </m:sSubSup>
      </m:oMath>
      <w:r>
        <w:rPr>
          <w:rFonts w:ascii="Times New Roman" w:hAnsi="Times New Roman"/>
          <w:sz w:val="24"/>
          <w:szCs w:val="24"/>
          <w:highlight w:val="none"/>
        </w:rPr>
        <w:t xml:space="preserve">- фактически выполненный медицинской организацией объем медицинской помощи, в части отдельных диагностических (лабораторных) исследований – компьютерной томографии, магнитно-резонансной томографии, эндоскопических диагностических исследований, принятый к о</w:t>
      </w:r>
      <w:r>
        <w:rPr>
          <w:rFonts w:ascii="Times New Roman" w:hAnsi="Times New Roman"/>
          <w:sz w:val="24"/>
          <w:szCs w:val="24"/>
          <w:highlight w:val="none"/>
        </w:rPr>
        <w:t xml:space="preserve">плате с начала года (без учета межучрежденческих расчетов);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 - количество месяцев с начала года до отчетного периода (включительно), при этом М не может превышать 11.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85. Оплата медицинской помощи производится с учетом результатов контроля объемов, сроков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, качества и условий предоставления медицинской помощи по обязательному медицинскому страхованию, проведенного в соответствии порядком, установленным в соответствии с пунктом 9.2 части 1 статьи 7 Федерального закона № 326-ФЗ.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86. Тарифы на оплату медицинск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ой помощи в системе ОМС включают затраты на лекарственные препараты, изделия медицинского назначения и медицинский инструментарий: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 соответствующему профилю стационарной и стационарозамещающей медицинской помощи - лекарственные препараты и изделия меди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цинского назначения в соответствии с действующими нормативными документами и перечнем жизненно необходимых и важнейших лекарственных препаратов, изделий медицинского назначения и расходных материалов, применяемых при оказании медицинской помощи в рамках ТП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ОМС;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 амбулаторно-поликлинической помощи - лекарственное обеспечение пациентов при оказании неотложной помощи; лекарственные препараты и изделия медицинского назначения, расходные материалы, необходимые для обеспечения деятельности лечебно-диагностиче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ского процесса;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по стоматологической помощи - лекарственное обеспечение пациентов при оказании неотложной помощи; лекарственные препараты и изделия медицинского назначения, пломбировочные и другие расходные материалы, необходимые для оказания стоматологи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ческой помощи в рамках ТП ОМС.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87. Расходование средств ОМС медицинской организацией на цели, не предусмотренные настоящим Тарифным соглашением, является нецелевым использованием средств ОМС, в том числе: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направление средств ОМС на возмещение расходов по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видам медицинской помощи, не включенным в ТП ОМС, а также по медицинской помощи, финансирование которой предусмотрено из других источников;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направление средств ОМС на возмещение расходов по медицинским услугам, не предусмотренным лицензией медицинской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рганизации;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направление средств ОМС на возмещение расходов, подлежащих оплате из средств бюджетов соответствующих уровней;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направление средств ОМС на возмещение расходов, не включенных в состав тарифов на медицинские услуги в системе ОМС;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направление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средств ОМС на цели, не предусмотренные условиями договора между страховой медицинской организацией и медицинской организацией;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необоснованное получение медицинскими организациями средств ОМС;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оплата собственных обязательств медицинских организаций, 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 связанных с деятельностью по ОМС;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3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- расходование средств ОМС на иные цели, не соответствующие условиям их предоставления.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88. При установлении ТФОМС Омской области фактов нецелевого расходования средств ОМС медицинской организацией медицинская организаци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я в соответствии с требованием ТФОМС Омской области обязана восстановить эти средства в рамках действующего законодательства.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89. Медицинские организации ведут раздельный учет по операциям со средствами обязательного медицинского страхования.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Медицинские 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рганизации ведут раздельный учет объемов оказанной медицинской помощи в рамках установленного плана-задания.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Медицинские организации ведут раздельный учет медицинской помощи, оказанной в амбулаторных условиях, стационарных условиях, в условиях дневного ста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ционара и скорой медицинской помощи, оказанной вне медицинской организации (по месту вызова бригады скорой, в том числе скорой специализированной, медицинской помощи, а также в транспортном средстве при медицинской эвакуации).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Медицинские организации ведут раздельный учет посещений с профилактической целью (посещение центра здоровья, в связи с диспансеризацией определенных групп населения, диспансерным наблюдением, профилактическим осмотром), посещений с иными целями, разовых по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сещений в связи с заболеванием, неотложной медицинской помощи и обращений по поводу заболеваний.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Медицинские организации, оказывающие скорую медицинскую помощь, ведут раздельный учет вызовов специализированных выездных бригад, врачебных общепрофильных выез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дных бригад, фельдшерских общепрофильных выездных бригад.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90. ТФОМС Омской области ежемесячно проводит мониторинг выполнения объемов и стоимости медицинской помощи, о результатах которого уведомляет председателя Комиссии в разрезе видов и условий предостав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ления медицинской помощи.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91. Неотъемлемыми приложениями Тарифного соглашения являются: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 "Перечень медицинских организаций по уровням оказания медицинской помощи в рамках Территориальной программы обязательного медицинского страхования Омской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области на 2026 год";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2 "Перечень медицинских организаций в разрезе условий оказания медицинской помощи и применяемых способов оплаты медицинской помощи в рамках Территориальной программы обязательного медицинского страхования Омской области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2026 год";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3 "Перечень расходов на оказание медицинской помощи, финансовое обеспечение которых осуществляется по подушевому нормативу финансирования и вне подушевого норматива финансирования в рамках Территориальной программы обязательного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медицинского страхования Омской области на 2026 год";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4 "Перечень показателей результативности деятельности медицинских организаций, порядок расчета значений показателей результативности деятельности медицинских организаций и порядок осуществл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ения выплат медицинским организациям, имеющим прикрепившихся лиц, за достижение значений показателей результативности деятельности медицинской организации, оказывающей медицинскую помощь в амбулаторных условиях в рамках территориальной программы обязательн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ого медицинского страхования Омской области в 2026 году";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5 "Перечень медицинских организаций с указанием показателей результативности деятельности в рамках Территориальной программы обязательного медицинского страхования Омской области на 202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6 год";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6 "Значения дифференцированных подушевых нормативов финансирования (ДПн), численность прикрепленного населения, коэффициенты, применяемые при расчете дифференцированных подушевых нормативов финансирования медицинских организаций, оказы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вающих медицинскую помощь в амбулаторных условиях, в рамках Территориальной программы обязательного медицинского страхования Омской области на 2026 год";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7 "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арифы на оплату медицинской помощи в амбулаторных условиях в части ведения школ для больных с хроническими неинфекционными заболеваниями, в том числе с сахарным диабетом, в том числе с применением телемедицинских технологий, в рамках Территориальной програ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ммы обязательного медицинского страхования Омской области на 2026 год, а также на оплату медицинской помощи, оказанной лицам, застрахованным за пределами Омской области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8 "Тариф на оплату медицинской помощи, оказанной в амбулаторных условиях при проведении медицинской реабилитации в рамках Территориальной программы обязательного медицинского страхования Омской области на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2026 год, в том числе на оплату медицинской помощи, оказанной лицам, застрахованным за пределами Омской области";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9 "Тарифы на оплату медицинской помощи в амбулаторных условиях, оказываемой с профилактической и иными целями, в рамках Территори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альной программы обязательного медицинского страхования Омской области на 2026 год, в том числе на оплату медицинской помощи, оказанной лицам, застрахованным за пределами Омской области, в том числе оплату медицинской помощи в рамках межучрежденческих расч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етов";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10 "Тарифы на лечебно-диагностические услуги (исследования) в рамках Территориальной программы обязательного медицинского страхования Омской области на 2026 год, в том числе на оплату медицинской помощи, оказанной лицам, застрахованным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 пределами Омской области, и оплату медицинской помощи в рамках межучрежденческих расчетов";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11 "Тарифы на оплату комплексного посещения с профилактической целью центров здоровья в рамках Территориальной программы обязательного медицинского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страхования Омской области на 2026 год, в том числе на оплату медицинской помощи, оказанной лицам, застрахованным за пределами Омской области";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12 "Среднее количество УЕТ в одной медицинской услуге, применяемое для обоснования объема и стоимос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ти посещений при оказании первичной медико-санитарной специализированной стоматологической помощи в амбулаторных условиях, в рамках Территориальной программы обязательного медицинского страхования Омской области на 2026 год, в том числе для оплаты медицинс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кой помощи, оказываемой гражданам, застрахованным за пределами Омской области";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13 "Тарифы на оплату медицинской помощи, оказываемой в неотложной форме, в рамках Территориальной программы обязательного медицинского страхования Омской области 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2026 год, в том числе для оплаты медицинской помощи, оказываемой гражданам, застрахованным за пределами Омской области";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14 "Тарифы на оплату медицинской помощи в амбулаторных условиях, оказываемой по поводу заболевания, в рамках Территориал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ьной программы обязательного медицинского страхования Омской области на 2026 год, в том числе для оплаты медицинской помощи, оказываемой гражданам, застрахованным за пределами Омской области, и оплаты медицинской помощи в рамках межучрежденческих расчетов"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15 "Коэффициенты относительной затратоемкости, применяемые к базовым тарифам для расчета услуг диализа в амбулаторных условиях, в услов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иях круглосуточного и дневного стационаров, в рамках Территориальной программы обязательного медицинского страхования Омской области на 2026 год, в том числе для оплаты медицинской помощи, оказываемой гражданам, застрахованным за пределами Омской области";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16 "Перечень КСГ в условиях круглосуточного стационара с учетом коэффициентов относительной затратоемкости (КЗксг), коэффициентов специфики КСГ (КСксг), перечень КСГ, которые предполагают хирургическое вмешательство или тромболитическую терап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ию, перечень КСГ, по которым оплата осуществляется в полном объеме при длительности госпитализации 3 дня и менее, перечень КСГ, при оплате по которым коэффициент уровня (подуровня) медицинской организации не применяется, перечень КСГ, для которых установле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на доля заработной платы и прочих расходов в структуре стоимости случая лечения, в рамках Территориальной программы обязательного медицинского страхования Омской области на 2026 год, в том числе для оплаты медицинской помощи, оказываемой гражданам, застрах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ованным за пределами Омской области";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17 "Перечень КСГ в условиях круглосуточного стационара, в которых не предусмотрена возможность выбора между критерием диагноза и услуги при проведении оперативного лечения, в рамках Территориальной програм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мы обязательного медицинского страхования Омской области на 2026 год, в том числе для оплаты медицинской помощи, оказываемой гражданам, застрахованным за пределами Омской области";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18 "Коэффициенты подуровня медицинских организаций (КУСмо), ок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азывающих медицинскую помощь в стационарных условиях и в условиях дневного стационара, в рамках Территориальной программы обязательного медицинского страхования Омской области на 2026 год, в том числе для оплаты медицинской помощи, оказываемой гражданам, з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астрахованным за пределами Омской области";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19 "Перечень случаев, для которых установлены коэффициенты сложности лечения пациента (КСЛП)";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20 "Перечень КСГ в условиях дневного стационара с учетом коэффициентов относительной затрат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оемкости (КЗксг), коэффициентов специфики КСГ (КСксг), а также перечень КСГ, которые предполагают хирургическое вмешательство или тромболитическую терапию, перечень КСГ, по которым оплата медицинской помощи осуществляется в полном объеме при длительности г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оспитализации 3 дня и менее, перечень КСГ, для которых установлена доля заработной платы и прочих расходов в структуре стоимости случая лечения, в рамках Территориальной программы обязательного медицинского страхования Омской области на 2026 год, в том чис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ле для оплаты медицинской помощи, оказываемой гражданам, застрахованным за пределами Омской области";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21 "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Т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арифы на оплату медицинской помощи, оказанной в амбулаторных условиях при проведении диспансерного наблюдения, в том числе детям, проживающим в организациях социального обслуживания (детских домах-интернатах), предоставляющих социальные услуги в стационарн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ой форме,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 также дистанционного наблюдения за состоянием здоровья пациентов с артериальной гипертензией и сахарным диабетом,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в рамках Территориальной программы обязательного медицинского страхования Омской области на 2026 год, в том числе на оплату медицинской помощи, оказанной лицам, застрахованным за пределами Омской области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22 "Значения дифференцированных подушевых нормативов финансиров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ания (ДПн), численность прикрепленного населения, коэффициенты, применяемые при расчете дифференцированных подушевых нормативов финансирования медицинских организаций, оказывающих скорую медицинскую помощь вне медицинской организации, в рамках Территориаль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ной программы обязательного медицинского страхования Омской области на 2026 год";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23 "Структура тарифа на оплату медицинской помощи в рамках Территориальной программы обязательного медицинского страхования Омской области на 2026 год";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ие № 24 "Тарифы на оплату высокотехнологичной медицинской помощи в рамках Территориальной программы обязательного медицинского страхования Омской области на 2026 год, в том числе для оплаты медицинской помощи, оказываемой гражданам, застрахованным за преде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лами Омской области";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25 "Диапазоны численности обслуживаемого населения, размеры финансового обеспечения и коэф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фициенты специфики оказания медицинской помощи, применяемые при расчете финансового обеспечения фельдшерских здравпунктов, фельдшерско-акушерских пунктов в рамках Территориальной программы обязательного медицинского страхования Омской области на 2026 год";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26 "Тарифы на оплату медицинской помощи с применением телемедицинских технологий в рамках Территориальной программы обязательного медицинского страхования Омской области на 2026 год, в том числе на оплату медицинской помощи, оказанной лицам, 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застрахованным за пределами Омской области, и оплату медицинской помощи в рамках межучрежденческих расчетов";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27 "Тарифы в рамках межучрежденческих расчетов на оплату проведения патолого-анатомических вскрытий на 2026 год";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ind w:firstLine="540"/>
        <w:jc w:val="both"/>
        <w:spacing w:before="200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Приложение № 28 "Зн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ачения коэффициентов для определения размера неоплаты или неполной оплаты затрат медицинской организации на оказание медицинской помощи в рамках Территориальной программы обязательного медицинского страхования Омской области на 2026 год и размера штрафа за</w:t>
      </w:r>
      <w:r>
        <w:rPr>
          <w:rFonts w:ascii="Times New Roman" w:hAnsi="Times New Roman" w:cs="Times New Roman"/>
          <w:sz w:val="24"/>
          <w:szCs w:val="24"/>
          <w:highlight w:val="none"/>
        </w:rPr>
        <w:t xml:space="preserve"> неоказание, несвоевременное оказание либо оказание медицинской помощи ненадлежащего качества".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sz w:val="24"/>
          <w:szCs w:val="24"/>
          <w:highlight w:val="none"/>
        </w:rPr>
        <w:outlineLvl w:val="1"/>
      </w:pPr>
      <w:r>
        <w:rPr>
          <w:rFonts w:ascii="Times New Roman" w:hAnsi="Times New Roman" w:eastAsia="Times New Roman"/>
          <w:b/>
          <w:sz w:val="24"/>
          <w:szCs w:val="24"/>
          <w:highlight w:val="none"/>
        </w:rPr>
        <w:t xml:space="preserve">Подписи представителей сторон:</w:t>
      </w:r>
      <w:r>
        <w:rPr>
          <w:rFonts w:ascii="Times New Roman" w:hAnsi="Times New Roman" w:eastAsia="Times New Roman"/>
          <w:b/>
          <w:sz w:val="24"/>
          <w:szCs w:val="24"/>
          <w:highlight w:val="none"/>
        </w:rPr>
      </w:r>
      <w:r>
        <w:rPr>
          <w:rFonts w:ascii="Times New Roman" w:hAnsi="Times New Roman" w:eastAsia="Times New Roman"/>
          <w:b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sz w:val="24"/>
          <w:szCs w:val="24"/>
          <w:highlight w:val="none"/>
        </w:rPr>
        <w:outlineLvl w:val="1"/>
      </w:pPr>
      <w:r>
        <w:rPr>
          <w:rFonts w:ascii="Times New Roman" w:hAnsi="Times New Roman" w:eastAsia="Times New Roman"/>
          <w:b/>
          <w:sz w:val="24"/>
          <w:szCs w:val="24"/>
          <w:highlight w:val="none"/>
        </w:rPr>
      </w:r>
      <w:r>
        <w:rPr>
          <w:rFonts w:ascii="Times New Roman" w:hAnsi="Times New Roman" w:eastAsia="Times New Roman"/>
          <w:b/>
          <w:sz w:val="24"/>
          <w:szCs w:val="24"/>
          <w:highlight w:val="none"/>
        </w:rPr>
      </w:r>
      <w:r>
        <w:rPr>
          <w:rFonts w:ascii="Times New Roman" w:hAnsi="Times New Roman" w:eastAsia="Times New Roman"/>
          <w:b/>
          <w:sz w:val="24"/>
          <w:szCs w:val="24"/>
          <w:highlight w:val="none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Times New Roman"/>
          <w:b/>
          <w:sz w:val="24"/>
          <w:szCs w:val="24"/>
          <w:highlight w:val="none"/>
        </w:rPr>
        <w:outlineLvl w:val="1"/>
      </w:pPr>
      <w:r>
        <w:rPr>
          <w:rFonts w:ascii="Times New Roman" w:hAnsi="Times New Roman" w:eastAsia="Times New Roman"/>
          <w:b/>
          <w:sz w:val="24"/>
          <w:szCs w:val="24"/>
          <w:highlight w:val="none"/>
        </w:rPr>
        <w:t xml:space="preserve">от уполномоченного органа исполнительной власти Омской области: </w:t>
      </w:r>
      <w:r>
        <w:rPr>
          <w:rFonts w:ascii="Times New Roman" w:hAnsi="Times New Roman" w:eastAsia="Times New Roman"/>
          <w:b/>
          <w:sz w:val="24"/>
          <w:szCs w:val="24"/>
          <w:highlight w:val="none"/>
        </w:rPr>
      </w:r>
      <w:r>
        <w:rPr>
          <w:rFonts w:ascii="Times New Roman" w:hAnsi="Times New Roman" w:eastAsia="Times New Roman"/>
          <w:b/>
          <w:sz w:val="24"/>
          <w:szCs w:val="24"/>
          <w:highlight w:val="none"/>
        </w:rPr>
      </w:r>
    </w:p>
    <w:p>
      <w:pPr>
        <w:spacing w:after="0" w:line="240" w:lineRule="auto"/>
        <w:widowControl w:val="off"/>
        <w:rPr>
          <w:rFonts w:ascii="Times New Roman" w:hAnsi="Times New Roman" w:eastAsia="Times New Roman"/>
          <w:sz w:val="24"/>
          <w:szCs w:val="24"/>
          <w:highlight w:val="none"/>
        </w:rPr>
      </w:pPr>
      <w:r>
        <w:rPr>
          <w:rFonts w:ascii="Times New Roman" w:hAnsi="Times New Roman" w:eastAsia="Times New Roman"/>
          <w:sz w:val="24"/>
          <w:szCs w:val="24"/>
          <w:highlight w:val="none"/>
        </w:rPr>
      </w:r>
      <w:r>
        <w:rPr>
          <w:rFonts w:ascii="Times New Roman" w:hAnsi="Times New Roman" w:eastAsia="Times New Roman"/>
          <w:sz w:val="24"/>
          <w:szCs w:val="24"/>
          <w:highlight w:val="none"/>
        </w:rPr>
      </w:r>
      <w:r>
        <w:rPr>
          <w:rFonts w:ascii="Times New Roman" w:hAnsi="Times New Roman" w:eastAsia="Times New Roman"/>
          <w:sz w:val="24"/>
          <w:szCs w:val="24"/>
          <w:highlight w:val="none"/>
        </w:rPr>
      </w:r>
    </w:p>
    <w:tbl>
      <w:tblPr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4530"/>
      </w:tblGrid>
      <w:tr>
        <w:tblPrEx/>
        <w:trPr/>
        <w:tc>
          <w:tcPr>
            <w:tcW w:w="4962" w:type="dxa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Министр здравоохранения 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  <w:t xml:space="preserve">Омской области</w:t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  <w:t xml:space="preserve">____________________</w:t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  <w:t xml:space="preserve">___</w:t>
            </w:r>
            <w:r>
              <w:rPr>
                <w:rFonts w:ascii="Times New Roman" w:hAnsi="Times New Roman" w:eastAsiaTheme="minorHAnsi" w:cstheme="minorBidi"/>
                <w:sz w:val="28"/>
                <w:highlight w:val="none"/>
                <w:lang w:eastAsia="en-US"/>
              </w:rPr>
              <w:t xml:space="preserve"> </w:t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  <w:t xml:space="preserve">Д.А. Маркелов</w:t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Заместитель Министра здравоохранения Омской области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  <w:lang w:eastAsia="en-US"/>
              </w:rPr>
              <w:t xml:space="preserve">______________________ С.Н. Мальцев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49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b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highlight w:val="none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b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  <w:t xml:space="preserve">от территориального фонда обязательного медицинского страхования 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  <w:t xml:space="preserve">Омской области: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96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Директор территориального фонда обязательного медицинского страхования Омской области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_________________________ П.В. Найденко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Заместитель начальника финансово-экономического управления территориального фонда обязательного медицинского страхования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Омской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 области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  <w:lang w:eastAsia="en-US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  <w:lang w:eastAsia="en-US"/>
              </w:rPr>
              <w:t xml:space="preserve">______________________ С.А. Стасенко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4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  <w:t xml:space="preserve">от страховых медицинских организаций: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96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Директор Омского филиала общества с ограниченной ответственностью «АльфаСтрахование-ОМС» 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  <w:t xml:space="preserve">_________________________А.А. Комаров</w:t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Calibri"/>
                <w:sz w:val="24"/>
                <w:szCs w:val="24"/>
                <w:highlight w:val="none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Директор Омского филиала акционерного общества 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  <w:lang w:eastAsia="en-US"/>
              </w:rPr>
              <w:t xml:space="preserve">«Страховая компания «СОГАЗ-Мед»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_______________________ М.Г. Тиванов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492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tabs>
                <w:tab w:val="left" w:pos="1725" w:leader="none"/>
                <w:tab w:val="center" w:pos="4638" w:leader="none"/>
              </w:tabs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725" w:leader="none"/>
                <w:tab w:val="center" w:pos="4638" w:leader="none"/>
              </w:tabs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tabs>
                <w:tab w:val="left" w:pos="1725" w:leader="none"/>
                <w:tab w:val="center" w:pos="4638" w:leader="none"/>
              </w:tabs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  <w:t xml:space="preserve">от медицинских профессиональных некоммерческих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  <w:t xml:space="preserve">организаций (ассоциаций):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9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Председатель Омской региональной общественной организации «Омская региональная Ассоциация врачей»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tabs>
                <w:tab w:val="left" w:pos="4480" w:leader="none"/>
              </w:tabs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__________________________Ю.А. Новиков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Член Омской региональной общественной организации «Омская региональная Ассоциация врачей»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______________________Н.Ю. 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Крючкова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2"/>
            <w:tcW w:w="94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  <w:t xml:space="preserve">от профессиональных союзов медицинских работников:</w:t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b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4962" w:type="dxa"/>
            <w:textDirection w:val="lrTb"/>
            <w:noWrap w:val="false"/>
          </w:tcPr>
          <w:p>
            <w:pPr>
              <w:contextualSpacing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Председатель Омской областной организации профсоюза работников здравоохранения РФ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contextualSpacing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  <w:p>
            <w:pPr>
              <w:contextualSpacing/>
              <w:jc w:val="both"/>
              <w:spacing w:after="0" w:line="240" w:lineRule="auto"/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  <w:t xml:space="preserve">________________________С.В. Быструшкин</w:t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Theme="minorHAnsi" w:cstheme="minorBidi"/>
                <w:sz w:val="24"/>
                <w:szCs w:val="24"/>
                <w:highlight w:val="none"/>
              </w:rPr>
            </w:r>
          </w:p>
        </w:tc>
        <w:tc>
          <w:tcPr>
            <w:tcW w:w="453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Член президиума Омской областной организации профсоюза работников здравоохранения РФ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______________________</w:t>
            </w:r>
            <w:r>
              <w:rPr>
                <w:highlight w:val="none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  <w:t xml:space="preserve">О.Ю. Горбунов</w:t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highlight w:val="none"/>
              </w:rPr>
            </w:r>
          </w:p>
        </w:tc>
      </w:tr>
    </w:tbl>
    <w:p>
      <w:pPr>
        <w:rPr>
          <w:rFonts w:ascii="Times New Roman" w:hAnsi="Times New Roman" w:eastAsiaTheme="minorHAnsi" w:cstheme="minorBidi"/>
          <w:sz w:val="16"/>
          <w:szCs w:val="16"/>
          <w:highlight w:val="none"/>
        </w:rPr>
      </w:pPr>
      <w:r>
        <w:rPr>
          <w:rFonts w:ascii="Times New Roman" w:hAnsi="Times New Roman" w:eastAsiaTheme="minorHAnsi" w:cstheme="minorBidi"/>
          <w:sz w:val="16"/>
          <w:szCs w:val="16"/>
          <w:highlight w:val="none"/>
          <w:lang w:eastAsia="en-US"/>
        </w:rPr>
      </w:r>
      <w:r>
        <w:rPr>
          <w:rFonts w:ascii="Times New Roman" w:hAnsi="Times New Roman" w:eastAsiaTheme="minorHAnsi" w:cstheme="minorBidi"/>
          <w:sz w:val="16"/>
          <w:szCs w:val="16"/>
          <w:highlight w:val="none"/>
        </w:rPr>
      </w:r>
      <w:r>
        <w:rPr>
          <w:rFonts w:ascii="Times New Roman" w:hAnsi="Times New Roman" w:eastAsiaTheme="minorHAnsi" w:cstheme="minorBidi"/>
          <w:sz w:val="16"/>
          <w:szCs w:val="16"/>
          <w:highlight w:val="none"/>
        </w:rPr>
      </w:r>
    </w:p>
    <w:p>
      <w:pPr>
        <w:pStyle w:val="889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134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ambria Math">
    <w:panose1 w:val="02000603000000000000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urier New">
    <w:panose1 w:val="02070409020205020404"/>
  </w:font>
  <w:font w:name="Arial">
    <w:panose1 w:val="020B0604020202020204"/>
  </w:font>
  <w:font w:name="Wingdings">
    <w:panose1 w:val="05010000000000000000"/>
  </w:font>
  <w:font w:name="Liberation Sans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8"/>
      <w:jc w:val="center"/>
    </w:pPr>
    <w:r/>
    <w:r/>
  </w:p>
  <w:p>
    <w:pPr>
      <w:pStyle w:val="898"/>
      <w:jc w:val="center"/>
    </w:pPr>
    <w:r/>
    <w:r/>
  </w:p>
  <w:p>
    <w:pPr>
      <w:pStyle w:val="898"/>
      <w:jc w:val="center"/>
      <w:rPr>
        <w:rFonts w:ascii="Times New Roman" w:hAnsi="Times New Roman"/>
      </w:rPr>
    </w:pPr>
    <w:r/>
    <w:sdt>
      <w:sdtPr>
        <w15:appearance w15:val="boundingBox"/>
        <w:id w:val="1875880043"/>
        <w:docPartObj>
          <w:docPartGallery w:val="Page Numbers (Top of Page)"/>
          <w:docPartUnique w:val="true"/>
        </w:docPartObj>
        <w:rPr>
          <w:rFonts w:ascii="Times New Roman" w:hAnsi="Times New Roman"/>
        </w:rPr>
      </w:sdtPr>
      <w:sdtContent>
        <w:r>
          <w:rPr>
            <w:rFonts w:ascii="Times New Roman" w:hAnsi="Times New Roman"/>
          </w:rPr>
          <w:fldChar w:fldCharType="begin"/>
        </w:r>
        <w:r>
          <w:rPr>
            <w:rFonts w:ascii="Times New Roman" w:hAnsi="Times New Roman"/>
          </w:rPr>
          <w:instrText xml:space="preserve">PAGE   \* MERGEFORMAT</w:instrText>
        </w:r>
        <w:r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</w:rPr>
          <w:t xml:space="preserve">46</w:t>
        </w:r>
        <w:r>
          <w:rPr>
            <w:rFonts w:ascii="Times New Roman" w:hAnsi="Times New Roman"/>
          </w:rPr>
          <w:fldChar w:fldCharType="end"/>
        </w:r>
      </w:sdtContent>
    </w:sdt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89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24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96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68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0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2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4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6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8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0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057" w:hanging="360"/>
      </w:pPr>
      <w:rPr>
        <w:rFonts w:hint="default"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77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49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21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3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65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37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9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81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3" w:default="1">
    <w:name w:val="Normal"/>
    <w:qFormat/>
    <w:rPr>
      <w:rFonts w:cs="Times New Roman" w:eastAsiaTheme="minorEastAsia"/>
      <w:lang w:eastAsia="ru-RU"/>
    </w:rPr>
  </w:style>
  <w:style w:type="paragraph" w:styleId="694">
    <w:name w:val="Heading 1"/>
    <w:basedOn w:val="693"/>
    <w:next w:val="693"/>
    <w:link w:val="72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695">
    <w:name w:val="Heading 2"/>
    <w:basedOn w:val="693"/>
    <w:next w:val="693"/>
    <w:link w:val="723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paragraph" w:styleId="696">
    <w:name w:val="Heading 3"/>
    <w:basedOn w:val="693"/>
    <w:next w:val="693"/>
    <w:link w:val="72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697">
    <w:name w:val="Heading 4"/>
    <w:basedOn w:val="693"/>
    <w:next w:val="693"/>
    <w:link w:val="725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8">
    <w:name w:val="Heading 5"/>
    <w:basedOn w:val="693"/>
    <w:next w:val="693"/>
    <w:link w:val="72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9">
    <w:name w:val="Heading 6"/>
    <w:basedOn w:val="693"/>
    <w:next w:val="693"/>
    <w:link w:val="727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</w:rPr>
  </w:style>
  <w:style w:type="paragraph" w:styleId="700">
    <w:name w:val="Heading 7"/>
    <w:basedOn w:val="693"/>
    <w:next w:val="693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701">
    <w:name w:val="Heading 8"/>
    <w:basedOn w:val="693"/>
    <w:next w:val="693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</w:rPr>
  </w:style>
  <w:style w:type="paragraph" w:styleId="702">
    <w:name w:val="Heading 9"/>
    <w:basedOn w:val="693"/>
    <w:next w:val="693"/>
    <w:link w:val="73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3" w:default="1">
    <w:name w:val="Default Paragraph Font"/>
    <w:uiPriority w:val="1"/>
    <w:semiHidden/>
    <w:unhideWhenUsed/>
  </w:style>
  <w:style w:type="table" w:styleId="70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5" w:default="1">
    <w:name w:val="No List"/>
    <w:uiPriority w:val="99"/>
    <w:semiHidden/>
    <w:unhideWhenUsed/>
  </w:style>
  <w:style w:type="character" w:styleId="706" w:customStyle="1">
    <w:name w:val="Heading 1 Char"/>
    <w:basedOn w:val="703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7" w:customStyle="1">
    <w:name w:val="Heading 2 Char"/>
    <w:basedOn w:val="703"/>
    <w:uiPriority w:val="9"/>
    <w:rPr>
      <w:rFonts w:ascii="Liberation Sans" w:hAnsi="Liberation Sans" w:eastAsia="Liberation Sans" w:cs="Liberation Sans"/>
      <w:sz w:val="34"/>
    </w:rPr>
  </w:style>
  <w:style w:type="character" w:styleId="708" w:customStyle="1">
    <w:name w:val="Heading 3 Char"/>
    <w:basedOn w:val="703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9" w:customStyle="1">
    <w:name w:val="Heading 4 Char"/>
    <w:basedOn w:val="70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10" w:customStyle="1">
    <w:name w:val="Heading 5 Char"/>
    <w:basedOn w:val="70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11" w:customStyle="1">
    <w:name w:val="Heading 6 Char"/>
    <w:basedOn w:val="70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2" w:customStyle="1">
    <w:name w:val="Heading 7 Char"/>
    <w:basedOn w:val="70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3" w:customStyle="1">
    <w:name w:val="Heading 8 Char"/>
    <w:basedOn w:val="70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4" w:customStyle="1">
    <w:name w:val="Heading 9 Char"/>
    <w:basedOn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5" w:customStyle="1">
    <w:name w:val="Title Char"/>
    <w:basedOn w:val="703"/>
    <w:uiPriority w:val="10"/>
    <w:rPr>
      <w:sz w:val="48"/>
      <w:szCs w:val="48"/>
    </w:rPr>
  </w:style>
  <w:style w:type="character" w:styleId="716" w:customStyle="1">
    <w:name w:val="Subtitle Char"/>
    <w:basedOn w:val="703"/>
    <w:uiPriority w:val="11"/>
    <w:rPr>
      <w:sz w:val="24"/>
      <w:szCs w:val="24"/>
    </w:rPr>
  </w:style>
  <w:style w:type="character" w:styleId="717" w:customStyle="1">
    <w:name w:val="Quote Char"/>
    <w:uiPriority w:val="29"/>
    <w:rPr>
      <w:i/>
    </w:rPr>
  </w:style>
  <w:style w:type="character" w:styleId="718" w:customStyle="1">
    <w:name w:val="Intense Quote Char"/>
    <w:uiPriority w:val="30"/>
    <w:rPr>
      <w:i/>
    </w:rPr>
  </w:style>
  <w:style w:type="character" w:styleId="719" w:customStyle="1">
    <w:name w:val="Caption Char"/>
    <w:basedOn w:val="703"/>
    <w:uiPriority w:val="35"/>
    <w:rPr>
      <w:b/>
      <w:bCs/>
      <w:color w:val="5b9bd5" w:themeColor="accent1"/>
      <w:sz w:val="18"/>
      <w:szCs w:val="18"/>
    </w:rPr>
  </w:style>
  <w:style w:type="character" w:styleId="720" w:customStyle="1">
    <w:name w:val="Footnote Text Char"/>
    <w:uiPriority w:val="99"/>
    <w:rPr>
      <w:sz w:val="18"/>
    </w:rPr>
  </w:style>
  <w:style w:type="character" w:styleId="721" w:customStyle="1">
    <w:name w:val="Endnote Text Char"/>
    <w:uiPriority w:val="99"/>
    <w:rPr>
      <w:sz w:val="20"/>
    </w:rPr>
  </w:style>
  <w:style w:type="character" w:styleId="722" w:customStyle="1">
    <w:name w:val="Заголовок 1 Знак"/>
    <w:basedOn w:val="703"/>
    <w:link w:val="69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3" w:customStyle="1">
    <w:name w:val="Заголовок 2 Знак"/>
    <w:basedOn w:val="703"/>
    <w:link w:val="695"/>
    <w:uiPriority w:val="9"/>
    <w:rPr>
      <w:rFonts w:ascii="Liberation Sans" w:hAnsi="Liberation Sans" w:eastAsia="Liberation Sans" w:cs="Liberation Sans"/>
      <w:sz w:val="34"/>
    </w:rPr>
  </w:style>
  <w:style w:type="character" w:styleId="724" w:customStyle="1">
    <w:name w:val="Заголовок 3 Знак"/>
    <w:basedOn w:val="703"/>
    <w:link w:val="69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25" w:customStyle="1">
    <w:name w:val="Заголовок 4 Знак"/>
    <w:basedOn w:val="703"/>
    <w:link w:val="69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6" w:customStyle="1">
    <w:name w:val="Заголовок 5 Знак"/>
    <w:basedOn w:val="703"/>
    <w:link w:val="69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7" w:customStyle="1">
    <w:name w:val="Заголовок 6 Знак"/>
    <w:basedOn w:val="703"/>
    <w:link w:val="69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8" w:customStyle="1">
    <w:name w:val="Заголовок 7 Знак"/>
    <w:basedOn w:val="703"/>
    <w:link w:val="700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9" w:customStyle="1">
    <w:name w:val="Заголовок 8 Знак"/>
    <w:basedOn w:val="703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0" w:customStyle="1">
    <w:name w:val="Заголовок 9 Знак"/>
    <w:basedOn w:val="703"/>
    <w:link w:val="702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1">
    <w:name w:val="List Paragraph"/>
    <w:basedOn w:val="693"/>
    <w:uiPriority w:val="34"/>
    <w:qFormat/>
    <w:pPr>
      <w:contextualSpacing/>
      <w:ind w:left="720"/>
    </w:pPr>
  </w:style>
  <w:style w:type="paragraph" w:styleId="732">
    <w:name w:val="No Spacing"/>
    <w:uiPriority w:val="1"/>
    <w:qFormat/>
    <w:pPr>
      <w:spacing w:after="0" w:line="240" w:lineRule="auto"/>
    </w:pPr>
  </w:style>
  <w:style w:type="paragraph" w:styleId="733">
    <w:name w:val="Title"/>
    <w:basedOn w:val="693"/>
    <w:next w:val="693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Заголовок Знак"/>
    <w:basedOn w:val="703"/>
    <w:link w:val="733"/>
    <w:uiPriority w:val="10"/>
    <w:rPr>
      <w:sz w:val="48"/>
      <w:szCs w:val="48"/>
    </w:rPr>
  </w:style>
  <w:style w:type="paragraph" w:styleId="735">
    <w:name w:val="Subtitle"/>
    <w:basedOn w:val="693"/>
    <w:next w:val="693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03"/>
    <w:link w:val="735"/>
    <w:uiPriority w:val="11"/>
    <w:rPr>
      <w:sz w:val="24"/>
      <w:szCs w:val="24"/>
    </w:rPr>
  </w:style>
  <w:style w:type="paragraph" w:styleId="737">
    <w:name w:val="Quote"/>
    <w:basedOn w:val="693"/>
    <w:next w:val="693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693"/>
    <w:next w:val="693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03"/>
    <w:uiPriority w:val="99"/>
  </w:style>
  <w:style w:type="character" w:styleId="742" w:customStyle="1">
    <w:name w:val="Footer Char"/>
    <w:basedOn w:val="703"/>
    <w:uiPriority w:val="99"/>
  </w:style>
  <w:style w:type="paragraph" w:styleId="743">
    <w:name w:val="Caption"/>
    <w:basedOn w:val="693"/>
    <w:next w:val="693"/>
    <w:link w:val="74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44" w:customStyle="1">
    <w:name w:val="Название объекта Знак"/>
    <w:basedOn w:val="703"/>
    <w:link w:val="743"/>
    <w:uiPriority w:val="35"/>
    <w:rPr>
      <w:b/>
      <w:bCs/>
      <w:color w:val="5b9bd5" w:themeColor="accent1"/>
      <w:sz w:val="18"/>
      <w:szCs w:val="18"/>
    </w:rPr>
  </w:style>
  <w:style w:type="table" w:styleId="745">
    <w:name w:val="Table Grid"/>
    <w:basedOn w:val="70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6" w:customStyle="1">
    <w:name w:val="Table Grid Light"/>
    <w:basedOn w:val="70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7">
    <w:name w:val="Plain Table 1"/>
    <w:basedOn w:val="704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8">
    <w:name w:val="Plain Table 2"/>
    <w:basedOn w:val="704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49">
    <w:name w:val="Plain Table 3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0">
    <w:name w:val="Plain Table 4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Plain Table 5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2">
    <w:name w:val="Grid Table 1 Light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1 Light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2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3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4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4" w:customStyle="1">
    <w:name w:val="Grid Table 4 - Accent 1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75" w:customStyle="1">
    <w:name w:val="Grid Table 4 - Accent 2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76" w:customStyle="1">
    <w:name w:val="Grid Table 4 - Accent 3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77" w:customStyle="1">
    <w:name w:val="Grid Table 4 - Accent 4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78" w:customStyle="1">
    <w:name w:val="Grid Table 4 - Accent 5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79" w:customStyle="1">
    <w:name w:val="Grid Table 4 - Accent 6"/>
    <w:basedOn w:val="704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80">
    <w:name w:val="Grid Table 5 Dark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87">
    <w:name w:val="Grid Table 6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8" w:customStyle="1">
    <w:name w:val="Grid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89" w:customStyle="1">
    <w:name w:val="Grid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90" w:customStyle="1">
    <w:name w:val="Grid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91" w:customStyle="1">
    <w:name w:val="Grid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92" w:customStyle="1">
    <w:name w:val="Grid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3" w:customStyle="1">
    <w:name w:val="Grid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94">
    <w:name w:val="Grid Table 7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Liberation Sans" w:hAnsi="Liberation Sans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Liberation Sans" w:hAnsi="Liberation Sans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  <w:tblStylePr w:type="firstCol">
      <w:rPr>
        <w:rFonts w:ascii="Liberation Sans" w:hAnsi="Liberation Sans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Grid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  <w:tblStylePr w:type="firstCol">
      <w:rPr>
        <w:rFonts w:ascii="Liberation Sans" w:hAnsi="Liberation Sans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1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2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3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4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5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1 Light - Accent 6"/>
    <w:basedOn w:val="70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14" w:customStyle="1">
    <w:name w:val="List Table 2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15">
    <w:name w:val="List Table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3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4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5 Dark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0" w:customStyle="1">
    <w:name w:val="List Table 5 Dark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1" w:customStyle="1">
    <w:name w:val="List Table 5 Dark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2" w:customStyle="1">
    <w:name w:val="List Table 5 Dark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3" w:customStyle="1">
    <w:name w:val="List Table 5 Dark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4" w:customStyle="1">
    <w:name w:val="List Table 5 Dark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5" w:customStyle="1">
    <w:name w:val="List Table 5 Dark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36">
    <w:name w:val="List Table 6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7" w:customStyle="1">
    <w:name w:val="List Table 6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38" w:customStyle="1">
    <w:name w:val="List Table 6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39" w:customStyle="1">
    <w:name w:val="List Table 6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40" w:customStyle="1">
    <w:name w:val="List Table 6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41" w:customStyle="1">
    <w:name w:val="List Table 6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42" w:customStyle="1">
    <w:name w:val="List Table 6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43">
    <w:name w:val="List Table 7 Colorful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Liberation Sans" w:hAnsi="Liberation Sans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  <w:tblStylePr w:type="firstCol">
      <w:rPr>
        <w:rFonts w:ascii="Liberation Sans" w:hAnsi="Liberation Sans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Liberation Sans" w:hAnsi="Liberation Sans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Liberation Sans" w:hAnsi="Liberation Sans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Liberation Sans" w:hAnsi="Liberation Sans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Liberation Sans" w:hAnsi="Liberation Sans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7 Colorful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Liberation Sans" w:hAnsi="Liberation Sans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ned - Accent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1" w:customStyle="1">
    <w:name w:val="Lined - Accent 1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2" w:customStyle="1">
    <w:name w:val="Lined - Accent 2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53" w:customStyle="1">
    <w:name w:val="Lined - Accent 3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54" w:customStyle="1">
    <w:name w:val="Lined - Accent 4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5" w:customStyle="1">
    <w:name w:val="Lined - Accent 5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6" w:customStyle="1">
    <w:name w:val="Lined - Accent 6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7" w:customStyle="1">
    <w:name w:val="Bordered &amp; Lined - Accent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8" w:customStyle="1">
    <w:name w:val="Bordered &amp; Lined - Accent 1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59" w:customStyle="1">
    <w:name w:val="Bordered &amp; Lined - Accent 2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0" w:customStyle="1">
    <w:name w:val="Bordered &amp; Lined - Accent 3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1" w:customStyle="1">
    <w:name w:val="Bordered &amp; Lined - Accent 4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2" w:customStyle="1">
    <w:name w:val="Bordered &amp; Lined - Accent 5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3" w:customStyle="1">
    <w:name w:val="Bordered &amp; Lined - Accent 6"/>
    <w:basedOn w:val="704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4" w:customStyle="1">
    <w:name w:val="Bordered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5" w:customStyle="1">
    <w:name w:val="Bordered - Accent 1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66" w:customStyle="1">
    <w:name w:val="Bordered - Accent 2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67" w:customStyle="1">
    <w:name w:val="Bordered - Accent 3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68" w:customStyle="1">
    <w:name w:val="Bordered - Accent 4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69" w:customStyle="1">
    <w:name w:val="Bordered - Accent 5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70" w:customStyle="1">
    <w:name w:val="Bordered - Accent 6"/>
    <w:basedOn w:val="704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71">
    <w:name w:val="Hyperlink"/>
    <w:uiPriority w:val="99"/>
    <w:unhideWhenUsed/>
    <w:rPr>
      <w:color w:val="0563c1" w:themeColor="hyperlink"/>
      <w:u w:val="single"/>
    </w:rPr>
  </w:style>
  <w:style w:type="paragraph" w:styleId="872">
    <w:name w:val="footnote text"/>
    <w:basedOn w:val="693"/>
    <w:link w:val="873"/>
    <w:uiPriority w:val="99"/>
    <w:semiHidden/>
    <w:unhideWhenUsed/>
    <w:pPr>
      <w:spacing w:after="40" w:line="240" w:lineRule="auto"/>
    </w:pPr>
    <w:rPr>
      <w:sz w:val="18"/>
    </w:rPr>
  </w:style>
  <w:style w:type="character" w:styleId="873" w:customStyle="1">
    <w:name w:val="Текст сноски Знак"/>
    <w:link w:val="872"/>
    <w:uiPriority w:val="99"/>
    <w:rPr>
      <w:sz w:val="18"/>
    </w:rPr>
  </w:style>
  <w:style w:type="character" w:styleId="874">
    <w:name w:val="footnote reference"/>
    <w:basedOn w:val="703"/>
    <w:uiPriority w:val="99"/>
    <w:unhideWhenUsed/>
    <w:rPr>
      <w:vertAlign w:val="superscript"/>
    </w:rPr>
  </w:style>
  <w:style w:type="paragraph" w:styleId="875">
    <w:name w:val="endnote text"/>
    <w:basedOn w:val="693"/>
    <w:link w:val="876"/>
    <w:uiPriority w:val="99"/>
    <w:semiHidden/>
    <w:unhideWhenUsed/>
    <w:pPr>
      <w:spacing w:after="0" w:line="240" w:lineRule="auto"/>
    </w:pPr>
    <w:rPr>
      <w:sz w:val="20"/>
    </w:rPr>
  </w:style>
  <w:style w:type="character" w:styleId="876" w:customStyle="1">
    <w:name w:val="Текст концевой сноски Знак"/>
    <w:link w:val="875"/>
    <w:uiPriority w:val="99"/>
    <w:rPr>
      <w:sz w:val="20"/>
    </w:rPr>
  </w:style>
  <w:style w:type="character" w:styleId="877">
    <w:name w:val="endnote reference"/>
    <w:basedOn w:val="703"/>
    <w:uiPriority w:val="99"/>
    <w:semiHidden/>
    <w:unhideWhenUsed/>
    <w:rPr>
      <w:vertAlign w:val="superscript"/>
    </w:rPr>
  </w:style>
  <w:style w:type="paragraph" w:styleId="878">
    <w:name w:val="toc 1"/>
    <w:basedOn w:val="693"/>
    <w:next w:val="693"/>
    <w:uiPriority w:val="39"/>
    <w:unhideWhenUsed/>
    <w:pPr>
      <w:spacing w:after="57"/>
    </w:pPr>
  </w:style>
  <w:style w:type="paragraph" w:styleId="879">
    <w:name w:val="toc 2"/>
    <w:basedOn w:val="693"/>
    <w:next w:val="693"/>
    <w:uiPriority w:val="39"/>
    <w:unhideWhenUsed/>
    <w:pPr>
      <w:ind w:left="283"/>
      <w:spacing w:after="57"/>
    </w:pPr>
  </w:style>
  <w:style w:type="paragraph" w:styleId="880">
    <w:name w:val="toc 3"/>
    <w:basedOn w:val="693"/>
    <w:next w:val="693"/>
    <w:uiPriority w:val="39"/>
    <w:unhideWhenUsed/>
    <w:pPr>
      <w:ind w:left="567"/>
      <w:spacing w:after="57"/>
    </w:pPr>
  </w:style>
  <w:style w:type="paragraph" w:styleId="881">
    <w:name w:val="toc 4"/>
    <w:basedOn w:val="693"/>
    <w:next w:val="693"/>
    <w:uiPriority w:val="39"/>
    <w:unhideWhenUsed/>
    <w:pPr>
      <w:ind w:left="850"/>
      <w:spacing w:after="57"/>
    </w:pPr>
  </w:style>
  <w:style w:type="paragraph" w:styleId="882">
    <w:name w:val="toc 5"/>
    <w:basedOn w:val="693"/>
    <w:next w:val="693"/>
    <w:uiPriority w:val="39"/>
    <w:unhideWhenUsed/>
    <w:pPr>
      <w:ind w:left="1134"/>
      <w:spacing w:after="57"/>
    </w:pPr>
  </w:style>
  <w:style w:type="paragraph" w:styleId="883">
    <w:name w:val="toc 6"/>
    <w:basedOn w:val="693"/>
    <w:next w:val="693"/>
    <w:uiPriority w:val="39"/>
    <w:unhideWhenUsed/>
    <w:pPr>
      <w:ind w:left="1417"/>
      <w:spacing w:after="57"/>
    </w:pPr>
  </w:style>
  <w:style w:type="paragraph" w:styleId="884">
    <w:name w:val="toc 7"/>
    <w:basedOn w:val="693"/>
    <w:next w:val="693"/>
    <w:uiPriority w:val="39"/>
    <w:unhideWhenUsed/>
    <w:pPr>
      <w:ind w:left="1701"/>
      <w:spacing w:after="57"/>
    </w:pPr>
  </w:style>
  <w:style w:type="paragraph" w:styleId="885">
    <w:name w:val="toc 8"/>
    <w:basedOn w:val="693"/>
    <w:next w:val="693"/>
    <w:uiPriority w:val="39"/>
    <w:unhideWhenUsed/>
    <w:pPr>
      <w:ind w:left="1984"/>
      <w:spacing w:after="57"/>
    </w:pPr>
  </w:style>
  <w:style w:type="paragraph" w:styleId="886">
    <w:name w:val="toc 9"/>
    <w:basedOn w:val="693"/>
    <w:next w:val="693"/>
    <w:uiPriority w:val="39"/>
    <w:unhideWhenUsed/>
    <w:pPr>
      <w:ind w:left="2268"/>
      <w:spacing w:after="57"/>
    </w:pPr>
  </w:style>
  <w:style w:type="paragraph" w:styleId="887">
    <w:name w:val="TOC Heading"/>
    <w:uiPriority w:val="39"/>
    <w:unhideWhenUsed/>
  </w:style>
  <w:style w:type="paragraph" w:styleId="888">
    <w:name w:val="table of figures"/>
    <w:basedOn w:val="693"/>
    <w:next w:val="693"/>
    <w:uiPriority w:val="99"/>
    <w:unhideWhenUsed/>
    <w:pPr>
      <w:spacing w:after="0"/>
    </w:pPr>
  </w:style>
  <w:style w:type="paragraph" w:styleId="889" w:customStyle="1">
    <w:name w:val="ConsPlusNormal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  <w:style w:type="paragraph" w:styleId="890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szCs w:val="20"/>
      <w:lang w:eastAsia="ru-RU"/>
    </w:rPr>
  </w:style>
  <w:style w:type="paragraph" w:styleId="891" w:customStyle="1">
    <w:name w:val="ConsPlusTitle"/>
    <w:pPr>
      <w:spacing w:after="0" w:line="240" w:lineRule="auto"/>
      <w:widowControl w:val="off"/>
    </w:pPr>
    <w:rPr>
      <w:rFonts w:ascii="Arial" w:hAnsi="Arial" w:cs="Arial" w:eastAsiaTheme="minorEastAsia"/>
      <w:b/>
      <w:bCs/>
      <w:sz w:val="20"/>
      <w:szCs w:val="20"/>
      <w:lang w:eastAsia="ru-RU"/>
    </w:rPr>
  </w:style>
  <w:style w:type="paragraph" w:styleId="892" w:customStyle="1">
    <w:name w:val="ConsPlusCell"/>
    <w:uiPriority w:val="99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szCs w:val="20"/>
      <w:lang w:eastAsia="ru-RU"/>
    </w:rPr>
  </w:style>
  <w:style w:type="paragraph" w:styleId="893" w:customStyle="1">
    <w:name w:val="ConsPlusDocList"/>
    <w:uiPriority w:val="99"/>
    <w:pPr>
      <w:spacing w:after="0" w:line="240" w:lineRule="auto"/>
      <w:widowControl w:val="off"/>
    </w:pPr>
    <w:rPr>
      <w:rFonts w:ascii="Tahoma" w:hAnsi="Tahoma" w:cs="Tahoma" w:eastAsiaTheme="minorEastAsia"/>
      <w:sz w:val="18"/>
      <w:szCs w:val="18"/>
      <w:lang w:eastAsia="ru-RU"/>
    </w:rPr>
  </w:style>
  <w:style w:type="paragraph" w:styleId="894" w:customStyle="1">
    <w:name w:val="ConsPlusTitlePage"/>
    <w:uiPriority w:val="99"/>
    <w:pPr>
      <w:spacing w:after="0" w:line="240" w:lineRule="auto"/>
      <w:widowControl w:val="off"/>
    </w:pPr>
    <w:rPr>
      <w:rFonts w:ascii="Tahoma" w:hAnsi="Tahoma" w:cs="Tahoma" w:eastAsiaTheme="minorEastAsia"/>
      <w:sz w:val="20"/>
      <w:szCs w:val="20"/>
      <w:lang w:eastAsia="ru-RU"/>
    </w:rPr>
  </w:style>
  <w:style w:type="paragraph" w:styleId="895" w:customStyle="1">
    <w:name w:val="ConsPlusJurTerm"/>
    <w:uiPriority w:val="99"/>
    <w:pPr>
      <w:spacing w:after="0" w:line="240" w:lineRule="auto"/>
      <w:widowControl w:val="off"/>
    </w:pPr>
    <w:rPr>
      <w:rFonts w:ascii="Tahoma" w:hAnsi="Tahoma" w:cs="Tahoma" w:eastAsiaTheme="minorEastAsia"/>
      <w:sz w:val="26"/>
      <w:szCs w:val="26"/>
      <w:lang w:eastAsia="ru-RU"/>
    </w:rPr>
  </w:style>
  <w:style w:type="paragraph" w:styleId="896" w:customStyle="1">
    <w:name w:val="ConsPlusTextList"/>
    <w:uiPriority w:val="99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  <w:style w:type="paragraph" w:styleId="897" w:customStyle="1">
    <w:name w:val="ConsPlusTextList1"/>
    <w:uiPriority w:val="99"/>
    <w:pPr>
      <w:spacing w:after="0" w:line="240" w:lineRule="auto"/>
      <w:widowControl w:val="off"/>
    </w:pPr>
    <w:rPr>
      <w:rFonts w:ascii="Arial" w:hAnsi="Arial" w:cs="Arial" w:eastAsiaTheme="minorEastAsia"/>
      <w:sz w:val="20"/>
      <w:szCs w:val="20"/>
      <w:lang w:eastAsia="ru-RU"/>
    </w:rPr>
  </w:style>
  <w:style w:type="paragraph" w:styleId="898">
    <w:name w:val="Header"/>
    <w:basedOn w:val="693"/>
    <w:link w:val="89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99" w:customStyle="1">
    <w:name w:val="Верхний колонтитул Знак"/>
    <w:basedOn w:val="703"/>
    <w:link w:val="898"/>
    <w:uiPriority w:val="99"/>
    <w:rPr>
      <w:rFonts w:cs="Times New Roman" w:eastAsiaTheme="minorEastAsia"/>
      <w:lang w:eastAsia="ru-RU"/>
    </w:rPr>
  </w:style>
  <w:style w:type="paragraph" w:styleId="900">
    <w:name w:val="Footer"/>
    <w:basedOn w:val="693"/>
    <w:link w:val="901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1" w:customStyle="1">
    <w:name w:val="Нижний колонтитул Знак"/>
    <w:basedOn w:val="703"/>
    <w:link w:val="900"/>
    <w:uiPriority w:val="99"/>
    <w:rPr>
      <w:rFonts w:cs="Times New Roman" w:eastAsiaTheme="minorEastAsia"/>
      <w:lang w:eastAsia="ru-RU"/>
    </w:rPr>
  </w:style>
  <w:style w:type="paragraph" w:styleId="902">
    <w:name w:val="Normal (Web)"/>
    <w:basedOn w:val="69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</w:rPr>
  </w:style>
  <w:style w:type="paragraph" w:styleId="903">
    <w:name w:val="Balloon Text"/>
    <w:basedOn w:val="693"/>
    <w:link w:val="90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04" w:customStyle="1">
    <w:name w:val="Текст выноски Знак"/>
    <w:basedOn w:val="703"/>
    <w:link w:val="903"/>
    <w:uiPriority w:val="99"/>
    <w:semiHidden/>
    <w:rPr>
      <w:rFonts w:ascii="Segoe UI" w:hAnsi="Segoe UI" w:cs="Segoe UI" w:eastAsiaTheme="minorEastAsia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media1.svg"/><Relationship Id="rId13" Type="http://schemas.openxmlformats.org/officeDocument/2006/relationships/image" Target="media/image2.png"/><Relationship Id="rId14" Type="http://schemas.openxmlformats.org/officeDocument/2006/relationships/image" Target="media/media2.svg"/><Relationship Id="rId15" Type="http://schemas.openxmlformats.org/officeDocument/2006/relationships/image" Target="media/image3.png"/><Relationship Id="rId16" Type="http://schemas.openxmlformats.org/officeDocument/2006/relationships/image" Target="media/media3.sv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928EB-EBED-4A18-87CD-D0F195F11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ТФОМС Омской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Сергеевна</dc:creator>
  <cp:keywords/>
  <dc:description/>
  <cp:lastModifiedBy>akostyunina</cp:lastModifiedBy>
  <cp:revision>28</cp:revision>
  <dcterms:created xsi:type="dcterms:W3CDTF">2025-01-30T13:01:00Z</dcterms:created>
  <dcterms:modified xsi:type="dcterms:W3CDTF">2026-01-30T12:24:38Z</dcterms:modified>
</cp:coreProperties>
</file>